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4E83F" w14:textId="77777777" w:rsidR="0034640C" w:rsidRDefault="00F071A9">
      <w:pPr>
        <w:spacing w:before="400" w:after="160" w:line="240" w:lineRule="auto"/>
        <w:jc w:val="center"/>
      </w:pPr>
      <w:r>
        <w:rPr>
          <w:rFonts w:eastAsia="Arial"/>
          <w:b/>
          <w:sz w:val="28"/>
        </w:rPr>
        <w:t>ZAŁĄCZNIK NR 1 DO WPZ</w:t>
      </w:r>
    </w:p>
    <w:p w14:paraId="4CAE8E14" w14:textId="77777777" w:rsidR="0034640C" w:rsidRDefault="00F071A9">
      <w:pPr>
        <w:spacing w:after="280"/>
        <w:jc w:val="center"/>
      </w:pPr>
      <w:r>
        <w:rPr>
          <w:rFonts w:eastAsia="Arial"/>
          <w:b/>
        </w:rPr>
        <w:t>OPIS PRZEDMIOTU ZAMÓWIENIA</w:t>
      </w:r>
    </w:p>
    <w:p w14:paraId="5F8D8342" w14:textId="77777777" w:rsidR="0034640C" w:rsidRDefault="00F071A9">
      <w:r>
        <w:rPr>
          <w:rFonts w:eastAsia="Arial"/>
          <w:b/>
        </w:rPr>
        <w:t>Dostawa</w:t>
      </w:r>
      <w:r>
        <w:rPr>
          <w:rFonts w:eastAsia="Arial"/>
        </w:rPr>
        <w:t xml:space="preserve"> energii elektrycznej do punktów poboru energii elektrycznej administrowanych przez AQUALIFT Sp. z o.o. w Międzychodzie w okresie 01.01.2027–31.12.2027 r. wraz z odkupem nadwyżek energii elektrycznej.</w:t>
      </w:r>
    </w:p>
    <w:p w14:paraId="52F16DB1" w14:textId="77777777" w:rsidR="0034640C" w:rsidRDefault="00F071A9">
      <w:pPr>
        <w:pStyle w:val="Nagwek1"/>
      </w:pPr>
      <w:r>
        <w:rPr>
          <w:rFonts w:eastAsia="Arial"/>
        </w:rPr>
        <w:t>1. Zakres zamówienia</w:t>
      </w:r>
    </w:p>
    <w:p w14:paraId="1309FCAA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Sprzedaż energii elektrycznej do PPE wymienionych w Załączniku nr 2 przez cały okres obowiązywania umowy.</w:t>
      </w:r>
    </w:p>
    <w:p w14:paraId="012EC5AD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Bilansowanie handlowe w zakresie energii pobieranej przez Zamawiającego oraz energii wprowadzanej do sieci z instalacji OZE Zamawiającego.</w:t>
      </w:r>
    </w:p>
    <w:p w14:paraId="7A622EFF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Obowiązkowy odkup przez Wykonawcę nadwyżek energii elektrycznej wprowadzanej do sieci OSD z instalacji OZE Zamawiającego na zasadach określonych w WPZ i umowie.</w:t>
      </w:r>
    </w:p>
    <w:p w14:paraId="23B1F2D6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>Przeprowadzenie przez Wykonawcę czynności niezbędnych do skutecznego zgłoszenia umowy sprzedaży do OSD i rozpoczęcia sprzedaży od 01.01.2027 r.</w:t>
      </w:r>
    </w:p>
    <w:p w14:paraId="7CBDC70B" w14:textId="77777777" w:rsidR="0034640C" w:rsidRDefault="00F071A9">
      <w:pPr>
        <w:pStyle w:val="Nagwek1"/>
      </w:pPr>
      <w:r>
        <w:rPr>
          <w:rFonts w:eastAsia="Arial"/>
        </w:rPr>
        <w:t>2. Wolumen i struktura zużycia</w:t>
      </w:r>
    </w:p>
    <w:p w14:paraId="1789DFE5" w14:textId="77777777" w:rsidR="0034640C" w:rsidRDefault="00F071A9">
      <w:r>
        <w:t>Łączny szacunkowy wolumen energii elektrycznej wynosi 1 280,145 MWh. Zamawiający dopuszcza odchylenie rzeczywistego wolumenu o ±20%, tj. przewidywany zakres od 1 024,116 MWh do maksymalnie 1 536,174 MWh. Liczba PPE: 67. Dane mają charakter prognozowany. Zmiana wolumenu w powyższym zakresie nie powoduje zmiany ceny jednostkowej sprzedaży energii, która pozostaje stała i niezmienna przez cały okres Umowy.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1304"/>
        <w:gridCol w:w="1304"/>
        <w:gridCol w:w="1304"/>
        <w:gridCol w:w="1417"/>
        <w:gridCol w:w="850"/>
      </w:tblGrid>
      <w:tr w:rsidR="0034640C" w14:paraId="630AAA5A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701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5F0113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Grupa taryfowa</w:t>
            </w:r>
          </w:p>
        </w:tc>
        <w:tc>
          <w:tcPr>
            <w:tcW w:w="1304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9082D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Strefa I [MWh]</w:t>
            </w:r>
          </w:p>
        </w:tc>
        <w:tc>
          <w:tcPr>
            <w:tcW w:w="1304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B6AC2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Strefa II [MWh]</w:t>
            </w:r>
          </w:p>
        </w:tc>
        <w:tc>
          <w:tcPr>
            <w:tcW w:w="1304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B6818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Strefa III [MWh]</w:t>
            </w:r>
          </w:p>
        </w:tc>
        <w:tc>
          <w:tcPr>
            <w:tcW w:w="1417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555D6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Razem [MWh]</w:t>
            </w:r>
          </w:p>
        </w:tc>
        <w:tc>
          <w:tcPr>
            <w:tcW w:w="850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0AA28B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PPE</w:t>
            </w:r>
          </w:p>
        </w:tc>
      </w:tr>
      <w:tr w:rsidR="0034640C" w14:paraId="43C151B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62247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B22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DC0A1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104,963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63BB3A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606,222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1278A3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AD384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711,185</w:t>
            </w:r>
          </w:p>
        </w:tc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141AC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2</w:t>
            </w:r>
          </w:p>
        </w:tc>
      </w:tr>
      <w:tr w:rsidR="0034640C" w14:paraId="3FDE8D4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847A5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C21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17C4D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213,333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A7D60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898D3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BC566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213,333</w:t>
            </w:r>
          </w:p>
        </w:tc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B09F5E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1</w:t>
            </w:r>
          </w:p>
        </w:tc>
      </w:tr>
      <w:tr w:rsidR="0034640C" w14:paraId="58270AB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F86A2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C11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CCF84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44,444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F1CC8C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10FA4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1FF4A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44,444</w:t>
            </w:r>
          </w:p>
        </w:tc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B8557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13</w:t>
            </w:r>
          </w:p>
        </w:tc>
      </w:tr>
      <w:tr w:rsidR="0034640C" w14:paraId="583B6A9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2B31E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C12a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2E7F48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78,293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D5D0E4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232,889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B653C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7A7A8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311,182</w:t>
            </w:r>
          </w:p>
        </w:tc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7B158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51</w:t>
            </w:r>
          </w:p>
        </w:tc>
      </w:tr>
      <w:tr w:rsidR="0034640C" w14:paraId="6A9E7C5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4F2CD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RAZEM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39B67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441,034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DC538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839,111</w:t>
            </w:r>
          </w:p>
        </w:tc>
        <w:tc>
          <w:tcPr>
            <w:tcW w:w="130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3A022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0,000</w:t>
            </w:r>
          </w:p>
        </w:tc>
        <w:tc>
          <w:tcPr>
            <w:tcW w:w="141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2E0F7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1 280,145</w:t>
            </w:r>
          </w:p>
        </w:tc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D33F1" w14:textId="77777777" w:rsidR="0034640C" w:rsidRDefault="00F071A9">
            <w:pPr>
              <w:spacing w:after="0" w:line="240" w:lineRule="auto"/>
              <w:jc w:val="right"/>
            </w:pPr>
            <w:r>
              <w:rPr>
                <w:rFonts w:eastAsia="Arial"/>
                <w:sz w:val="18"/>
              </w:rPr>
              <w:t>67</w:t>
            </w:r>
          </w:p>
        </w:tc>
      </w:tr>
    </w:tbl>
    <w:p w14:paraId="5D15F77E" w14:textId="77777777" w:rsidR="0034640C" w:rsidRDefault="0034640C">
      <w:pPr>
        <w:spacing w:after="20"/>
      </w:pPr>
    </w:p>
    <w:p w14:paraId="2EC47258" w14:textId="77777777" w:rsidR="0034640C" w:rsidRDefault="00F071A9">
      <w:pPr>
        <w:pStyle w:val="Nagwek1"/>
      </w:pPr>
      <w:r>
        <w:rPr>
          <w:rFonts w:eastAsia="Arial"/>
        </w:rPr>
        <w:t>3. Instalacje OZE i odkup nadwyżek</w:t>
      </w:r>
    </w:p>
    <w:p w14:paraId="41635E14" w14:textId="77777777" w:rsidR="0034640C" w:rsidRDefault="00F071A9">
      <w:r>
        <w:rPr>
          <w:rFonts w:eastAsia="Arial"/>
        </w:rPr>
        <w:t>Na podstawie danych przekazanych w Załączniku nr 2 instalacje OZE oznaczone są przy właściwych PPE. Dla czterech PPE wykazano łącznie 391,835 kWp mocy instalacji. Szacunkowa ilość energii elektrycznej przeznaczonej do odkupu w okresie umowy wynosi 65,605 MWh; wartość ta ma wyłącznie charakter orientacyjny.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5"/>
        <w:gridCol w:w="4989"/>
        <w:gridCol w:w="1247"/>
      </w:tblGrid>
      <w:tr w:rsidR="0034640C" w14:paraId="4D4A2AAF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665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1D0361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PPE</w:t>
            </w:r>
          </w:p>
        </w:tc>
        <w:tc>
          <w:tcPr>
            <w:tcW w:w="4989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7591C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Obiekt</w:t>
            </w:r>
          </w:p>
        </w:tc>
        <w:tc>
          <w:tcPr>
            <w:tcW w:w="1247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C25BD7" w14:textId="77777777" w:rsidR="0034640C" w:rsidRDefault="00F071A9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Moc OZE [kWp]</w:t>
            </w:r>
          </w:p>
        </w:tc>
      </w:tr>
      <w:tr w:rsidR="0034640C" w14:paraId="3207F03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6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5464C6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590310600000833167</w:t>
            </w:r>
          </w:p>
        </w:tc>
        <w:tc>
          <w:tcPr>
            <w:tcW w:w="498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ADAAC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Oczyszczalnia ścieków, Międzychód, ul. Muchocińska 7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93AAAF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120,400</w:t>
            </w:r>
          </w:p>
        </w:tc>
      </w:tr>
      <w:tr w:rsidR="0034640C" w14:paraId="3A10AE8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6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826F4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590310600000833174</w:t>
            </w:r>
          </w:p>
        </w:tc>
        <w:tc>
          <w:tcPr>
            <w:tcW w:w="498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1B53D4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Stacja Uzdatniania Wody Międzychód, ul. B. Chrobrego 26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6BC926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194,145</w:t>
            </w:r>
          </w:p>
        </w:tc>
      </w:tr>
      <w:tr w:rsidR="0034640C" w14:paraId="65DC74A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6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4C804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590310600000846211</w:t>
            </w:r>
          </w:p>
        </w:tc>
        <w:tc>
          <w:tcPr>
            <w:tcW w:w="498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79F9CD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Stacja Uzdatniania Wody Głażewo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0F7BB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49,570</w:t>
            </w:r>
          </w:p>
        </w:tc>
      </w:tr>
      <w:tr w:rsidR="0034640C" w14:paraId="11BD66C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6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3516E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lastRenderedPageBreak/>
              <w:t>590310600000846181</w:t>
            </w:r>
          </w:p>
        </w:tc>
        <w:tc>
          <w:tcPr>
            <w:tcW w:w="498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7C174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Budynek administracyjny, ul. B. Chrobrego 24A</w:t>
            </w:r>
          </w:p>
        </w:tc>
        <w:tc>
          <w:tcPr>
            <w:tcW w:w="124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54678" w14:textId="77777777" w:rsidR="0034640C" w:rsidRDefault="00F071A9">
            <w:pPr>
              <w:spacing w:after="0" w:line="240" w:lineRule="auto"/>
            </w:pPr>
            <w:r>
              <w:rPr>
                <w:rFonts w:eastAsia="Arial"/>
                <w:sz w:val="18"/>
              </w:rPr>
              <w:t>27,720</w:t>
            </w:r>
          </w:p>
        </w:tc>
      </w:tr>
    </w:tbl>
    <w:p w14:paraId="2A1D8E08" w14:textId="77777777" w:rsidR="0034640C" w:rsidRDefault="0034640C">
      <w:pPr>
        <w:spacing w:after="20"/>
      </w:pPr>
    </w:p>
    <w:p w14:paraId="4ADE8E4A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 xml:space="preserve">Wykonawca odkupi energię wprowadzoną do sieci według ceny </w:t>
      </w:r>
      <w:proofErr w:type="spellStart"/>
      <w:r>
        <w:rPr>
          <w:rFonts w:eastAsia="Arial"/>
        </w:rPr>
        <w:t>C_odkup,m</w:t>
      </w:r>
      <w:proofErr w:type="spellEnd"/>
      <w:r>
        <w:rPr>
          <w:rFonts w:eastAsia="Arial"/>
        </w:rPr>
        <w:t xml:space="preserve"> = 0,80 × </w:t>
      </w:r>
      <w:proofErr w:type="spellStart"/>
      <w:r>
        <w:rPr>
          <w:rFonts w:eastAsia="Arial"/>
        </w:rPr>
        <w:t>TGeBASE_WAvg,m</w:t>
      </w:r>
      <w:proofErr w:type="spellEnd"/>
      <w:r>
        <w:rPr>
          <w:rFonts w:eastAsia="Arial"/>
        </w:rPr>
        <w:t xml:space="preserve"> za właściwy miesiąc rozliczeniowy.</w:t>
      </w:r>
    </w:p>
    <w:p w14:paraId="57058E5D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 xml:space="preserve">Indeks </w:t>
      </w:r>
      <w:proofErr w:type="spellStart"/>
      <w:r>
        <w:rPr>
          <w:rFonts w:eastAsia="Arial"/>
        </w:rPr>
        <w:t>TGeBASE_WAvg</w:t>
      </w:r>
      <w:proofErr w:type="spellEnd"/>
      <w:r>
        <w:rPr>
          <w:rFonts w:eastAsia="Arial"/>
        </w:rPr>
        <w:t xml:space="preserve"> jest publikowany przez Towarową Giełdę Energii S.A. w danych statystycznych i odpowiada miesięcznej średniej cenie RDN ważonej wolumenem obrotu.</w:t>
      </w:r>
    </w:p>
    <w:p w14:paraId="0B336BB1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Współczynnik 80% jest stały przez cały okres umowy. Wykonawca nie może pomniejszać ceny odkupu o dodatkowe marże, opłaty handlowe, koszty bilansowania ani inne potrącenia.</w:t>
      </w:r>
    </w:p>
    <w:p w14:paraId="4EB719FA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>Zamawiający nie dopuszcza zastąpienia zasad odkupu wzorem umowy Wykonawcy, jeśli prowadziłoby to do zmiany formuły ceny, współczynnika 80%, zasad bilansowania lub innych warunków ekonomicznych przewidzianych dokumentacją.</w:t>
      </w:r>
    </w:p>
    <w:p w14:paraId="616C59E5" w14:textId="77777777" w:rsidR="0034640C" w:rsidRDefault="00F071A9">
      <w:pPr>
        <w:pStyle w:val="Nagwek1"/>
      </w:pPr>
      <w:r>
        <w:rPr>
          <w:rFonts w:eastAsia="Arial"/>
        </w:rPr>
        <w:t>4. Cena sprzedaży energii</w:t>
      </w:r>
    </w:p>
    <w:p w14:paraId="14C18A60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Wykonawca oferuje jedną cenę jednostkową netto za 1 MWh energii czynnej, identyczną dla wszystkich PPE, grup taryfowych i stref czasowych objętych postępowaniem.</w:t>
      </w:r>
    </w:p>
    <w:p w14:paraId="5FE632BB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Cena jest stała i niezmienna przez cały okres 01.01.2027–31.12.2027 r. Nie podlega zmianie z przyczyn rynkowych, kosztowych, inflacyjnych ani regulacyjnych wpływających na koszty Wykonawcy, z wyjątkiem wpływu zmiany stawki VAT na kwotę brutto, jeśli wynika to bezpośrednio z prawa.</w:t>
      </w:r>
    </w:p>
    <w:p w14:paraId="1D351012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Cena obejmuje bilansowanie handlowe, marżę, akcyzę i wszystkie koszty Wykonawcy. Opłata handlowa/abonamentowa Wykonawcy wynosi 0,00 zł.</w:t>
      </w:r>
    </w:p>
    <w:p w14:paraId="17B637BE" w14:textId="77777777" w:rsidR="0034640C" w:rsidRDefault="00F071A9">
      <w:pPr>
        <w:pStyle w:val="Nagwek1"/>
      </w:pPr>
      <w:r>
        <w:rPr>
          <w:rFonts w:eastAsia="Arial"/>
        </w:rPr>
        <w:t>5. Dystrybucja i zmiana sprzedawcy</w:t>
      </w:r>
    </w:p>
    <w:p w14:paraId="44852627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OSD dla PPE objętych zamówieniem jest ENEA Operator Sp. z o.o. Przedmiot zamówienia nie obejmuje usług dystrybucji.</w:t>
      </w:r>
    </w:p>
    <w:p w14:paraId="43156D80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Wykonawca musi posiadać GUD z ENEA Operator Sp. z o.o. Zamawiający wymaga oświadczenia o posiadaniu GUD i wskazania jej numeru; nie wymaga przekazania pełnej treści umowy GUD.</w:t>
      </w:r>
    </w:p>
    <w:p w14:paraId="28169E58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Zamawiający przekaże Wykonawcy najpóźniej w dniu zawarcia umowy dane i dokumenty niezbędne do przeprowadzenia procedury zmiany sprzedawcy.</w:t>
      </w:r>
    </w:p>
    <w:p w14:paraId="06C55D74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>Zamawiający dopuszcza zastosowanie pełnomocnictwa według wzoru Wykonawcy, jeżeli zakres pełnomocnictwa jest niezbędny do procedury zmiany sprzedawcy i nie narusza warunków umowy.</w:t>
      </w:r>
    </w:p>
    <w:p w14:paraId="5C9EE98E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5. </w:t>
      </w:r>
      <w:r>
        <w:rPr>
          <w:rFonts w:eastAsia="Arial"/>
        </w:rPr>
        <w:t>Zamawiający posiada umowy dystrybucyjne dla PPE. Umowa sprzedaży w ramach niniejszego postępowania rozpocznie się 01.01.2027 r., nie wcześniej niż po skutecznym zgłoszeniu do OSD.</w:t>
      </w:r>
    </w:p>
    <w:p w14:paraId="5772D230" w14:textId="77777777" w:rsidR="0034640C" w:rsidRDefault="00F071A9">
      <w:pPr>
        <w:pStyle w:val="Nagwek1"/>
      </w:pPr>
      <w:r>
        <w:rPr>
          <w:rFonts w:eastAsia="Arial"/>
        </w:rPr>
        <w:t>6. Dane profilowe i prognozy</w:t>
      </w:r>
    </w:p>
    <w:p w14:paraId="6AF660F7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Podstawą kalkulacji oferty są dane zawarte w Załączniku nr 2. Zamawiający nie gwarantuje określonego profilu godzinowego ani poboru dokładnie odpowiadającego wartościom prognozowanym.</w:t>
      </w:r>
    </w:p>
    <w:p w14:paraId="08F2C24B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Jeżeli Zamawiający nie udostępni dodatkowych danych godzinowych, Wykonawca przyjmuje do kalkulacji dane dostępne w dokumentacji i nie może z tego tytułu żądać zmiany ceny po zawarciu umowy.</w:t>
      </w:r>
    </w:p>
    <w:p w14:paraId="641473B6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Zmniejszenie lub zwiększenie zapotrzebowania, likwidacja PPE, utworzenie nowego PPE lub zmiana grupy taryfowej w obrębie grup objętych dokumentacją nie powoduje zmiany ceny jednostkowej energii.</w:t>
      </w:r>
    </w:p>
    <w:p w14:paraId="7FA7FD5B" w14:textId="77777777" w:rsidR="0034640C" w:rsidRDefault="00F071A9">
      <w:pPr>
        <w:pStyle w:val="Nagwek1"/>
      </w:pPr>
      <w:r>
        <w:rPr>
          <w:rFonts w:eastAsia="Arial"/>
        </w:rPr>
        <w:lastRenderedPageBreak/>
        <w:t>7. Fakturowanie i rozliczenia</w:t>
      </w:r>
    </w:p>
    <w:p w14:paraId="6AAF9001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Fakturowanie sprzedaży energii odbywa się na podstawie rzeczywistych danych pomiarowo-rozliczeniowych OSD; w przypadku długotrwałego braku danych dopuszcza się rozliczenie prognozowane z późniejszą korektą.</w:t>
      </w:r>
    </w:p>
    <w:p w14:paraId="6C34719E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Faktura lub specyfikacja do faktury musi zawierać co najmniej numer PPE, okres rozliczeniowy, grupę taryfową, ilość energii, cenę jednostkową, wartość netto, VAT i wartość brutto.</w:t>
      </w:r>
    </w:p>
    <w:p w14:paraId="32F7B2E2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Zamawiający może przekazać listę określającą sposób grupowania PPE na fakturach.</w:t>
      </w:r>
    </w:p>
    <w:p w14:paraId="639664F0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 xml:space="preserve">Faktury są wystawiane i odbierane z wykorzystaniem </w:t>
      </w:r>
      <w:proofErr w:type="spellStart"/>
      <w:r>
        <w:rPr>
          <w:rFonts w:eastAsia="Arial"/>
        </w:rPr>
        <w:t>KSeF</w:t>
      </w:r>
      <w:proofErr w:type="spellEnd"/>
      <w:r>
        <w:rPr>
          <w:rFonts w:eastAsia="Arial"/>
        </w:rPr>
        <w:t xml:space="preserve"> w zakresie wynikającym z obowiązujących przepisów.</w:t>
      </w:r>
    </w:p>
    <w:p w14:paraId="1BAB270D" w14:textId="77777777" w:rsidR="0034640C" w:rsidRDefault="00F071A9">
      <w:pPr>
        <w:pStyle w:val="Nagwek1"/>
      </w:pPr>
      <w:r>
        <w:rPr>
          <w:rFonts w:eastAsia="Arial"/>
        </w:rPr>
        <w:t>8. Zmiany w wykazie PPE</w:t>
      </w:r>
    </w:p>
    <w:p w14:paraId="1005EBBA" w14:textId="77777777" w:rsidR="0034640C" w:rsidRDefault="00F071A9">
      <w:pPr>
        <w:spacing w:after="40"/>
        <w:ind w:hanging="312"/>
      </w:pPr>
      <w:r>
        <w:rPr>
          <w:b/>
        </w:rPr>
        <w:t>1. Zamawiający może zlikwidować PPE, zmienić status prawny obiektu lub dodać nowe PPE w okresie obowiązywania Umowy. Łączna zmiana zakresu ilościowego zamówienia nie może prowadzić do przekroczenia maksymalnego wolumenu 1 536,174 MWh, tj. 120% wolumenu bazowego. Zmiana zakresu nie powoduje zmiany ceny jednostkowej netto.</w:t>
      </w:r>
    </w:p>
    <w:p w14:paraId="4E30F56B" w14:textId="77777777" w:rsidR="0034640C" w:rsidRDefault="00F071A9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Nowe PPE oraz PPE po zmianie grupy taryfowej są rozliczane według tej samej stałej ceny jednostkowej netto, o ile mieszczą się w grupach taryfowych objętych dokumentacją.</w:t>
      </w:r>
    </w:p>
    <w:sectPr w:rsidR="0034640C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6325F" w14:textId="77777777" w:rsidR="00F071A9" w:rsidRDefault="00F071A9">
      <w:pPr>
        <w:spacing w:after="0" w:line="240" w:lineRule="auto"/>
      </w:pPr>
      <w:r>
        <w:separator/>
      </w:r>
    </w:p>
  </w:endnote>
  <w:endnote w:type="continuationSeparator" w:id="0">
    <w:p w14:paraId="4993429D" w14:textId="77777777" w:rsidR="00F071A9" w:rsidRDefault="00F07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068E" w14:textId="77777777" w:rsidR="0034640C" w:rsidRDefault="00F071A9">
    <w:pPr>
      <w:pStyle w:val="Stopka"/>
      <w:jc w:val="right"/>
    </w:pPr>
    <w:r>
      <w:rPr>
        <w:rFonts w:eastAsia="Arial"/>
        <w:color w:val="6E6E6E"/>
        <w:sz w:val="16"/>
      </w:rPr>
      <w:t xml:space="preserve">Strona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PAGE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  <w:r>
      <w:rPr>
        <w:rFonts w:eastAsia="Arial"/>
        <w:color w:val="6E6E6E"/>
        <w:sz w:val="16"/>
      </w:rPr>
      <w:t xml:space="preserve"> z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NUMPAGES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2</w:t>
    </w:r>
    <w:r>
      <w:rPr>
        <w:rFonts w:eastAsia="Arial"/>
        <w:color w:val="6E6E6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A1161" w14:textId="77777777" w:rsidR="00F071A9" w:rsidRDefault="00F071A9">
      <w:pPr>
        <w:spacing w:after="0" w:line="240" w:lineRule="auto"/>
      </w:pPr>
      <w:r>
        <w:separator/>
      </w:r>
    </w:p>
  </w:footnote>
  <w:footnote w:type="continuationSeparator" w:id="0">
    <w:p w14:paraId="39729A1A" w14:textId="77777777" w:rsidR="00F071A9" w:rsidRDefault="00F07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75272" w14:textId="02D0B19D" w:rsidR="0034640C" w:rsidRDefault="00F071A9">
    <w:pPr>
      <w:pStyle w:val="Nagwek"/>
      <w:spacing w:after="160"/>
    </w:pPr>
    <w:bookmarkStart w:id="0" w:name="_Hlk188862157"/>
    <w:bookmarkStart w:id="1" w:name="_Hlk188862156"/>
    <w:bookmarkStart w:id="2" w:name="_Hlk188862143"/>
    <w:bookmarkStart w:id="3" w:name="_Hlk188862142"/>
    <w:bookmarkStart w:id="4" w:name="_Hlk188862131"/>
    <w:bookmarkStart w:id="5" w:name="_Hlk188862130"/>
    <w:bookmarkStart w:id="6" w:name="_Hlk188862105"/>
    <w:bookmarkStart w:id="7" w:name="_Hlk188862104"/>
    <w:r>
      <w:rPr>
        <w:rFonts w:cs="Arial"/>
        <w:i/>
        <w:noProof/>
        <w:kern w:val="0"/>
        <w:sz w:val="18"/>
        <w:szCs w:val="18"/>
        <w:lang w:eastAsia="pl-PL"/>
      </w:rPr>
      <w:drawing>
        <wp:anchor distT="0" distB="0" distL="114935" distR="114935" simplePos="0" relativeHeight="251663360" behindDoc="0" locked="0" layoutInCell="0" allowOverlap="1" wp14:anchorId="3497C2FB" wp14:editId="3D1FF020">
          <wp:simplePos x="0" y="0"/>
          <wp:positionH relativeFrom="margin">
            <wp:posOffset>-212725</wp:posOffset>
          </wp:positionH>
          <wp:positionV relativeFrom="margin">
            <wp:posOffset>-737870</wp:posOffset>
          </wp:positionV>
          <wp:extent cx="6480810" cy="236220"/>
          <wp:effectExtent l="0" t="0" r="0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26" r="-796" b="82068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r w:rsidRPr="00E27C6A">
      <w:rPr>
        <w:rFonts w:cs="Arial"/>
        <w:i/>
        <w:sz w:val="18"/>
        <w:szCs w:val="18"/>
      </w:rPr>
      <w:t xml:space="preserve">Numer sprawy: </w:t>
    </w:r>
    <w:r>
      <w:rPr>
        <w:rFonts w:cs="Arial"/>
        <w:i/>
        <w:sz w:val="18"/>
        <w:szCs w:val="18"/>
      </w:rPr>
      <w:t>TM/09/ZWiK/2026</w:t>
    </w:r>
    <w:r w:rsidRPr="00E27C6A">
      <w:rPr>
        <w:rFonts w:cs="Arial"/>
        <w:i/>
        <w:sz w:val="18"/>
        <w:szCs w:val="18"/>
      </w:rPr>
      <w:t xml:space="preserve"> z dnia</w:t>
    </w:r>
    <w:r>
      <w:rPr>
        <w:rFonts w:cs="Arial"/>
        <w:i/>
        <w:sz w:val="18"/>
        <w:szCs w:val="18"/>
      </w:rPr>
      <w:t xml:space="preserve"> 15.10.2026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40CA1"/>
    <w:multiLevelType w:val="multilevel"/>
    <w:tmpl w:val="5C164E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D17794"/>
    <w:multiLevelType w:val="multilevel"/>
    <w:tmpl w:val="9266EB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F573FF"/>
    <w:multiLevelType w:val="multilevel"/>
    <w:tmpl w:val="850EE93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7A2B8C"/>
    <w:multiLevelType w:val="multilevel"/>
    <w:tmpl w:val="CF08F98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7E3B2A"/>
    <w:multiLevelType w:val="multilevel"/>
    <w:tmpl w:val="D7BE0F8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362438"/>
    <w:multiLevelType w:val="multilevel"/>
    <w:tmpl w:val="64F0DAF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833F39"/>
    <w:multiLevelType w:val="multilevel"/>
    <w:tmpl w:val="49722696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E11C06"/>
    <w:multiLevelType w:val="multilevel"/>
    <w:tmpl w:val="8E32BD8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27CF7C0F"/>
    <w:multiLevelType w:val="multilevel"/>
    <w:tmpl w:val="5B729B7C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656CBE"/>
    <w:multiLevelType w:val="multilevel"/>
    <w:tmpl w:val="24065E0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F030FC"/>
    <w:multiLevelType w:val="multilevel"/>
    <w:tmpl w:val="F83C9EA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C8A316E"/>
    <w:multiLevelType w:val="multilevel"/>
    <w:tmpl w:val="155A76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F565FA"/>
    <w:multiLevelType w:val="multilevel"/>
    <w:tmpl w:val="C4D236AE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CAC300D"/>
    <w:multiLevelType w:val="multilevel"/>
    <w:tmpl w:val="302EC2F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1796791"/>
    <w:multiLevelType w:val="multilevel"/>
    <w:tmpl w:val="E17C043A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A280315"/>
    <w:multiLevelType w:val="multilevel"/>
    <w:tmpl w:val="F3AA720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5EE7074D"/>
    <w:multiLevelType w:val="multilevel"/>
    <w:tmpl w:val="A4A00AB0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CF0101C"/>
    <w:multiLevelType w:val="multilevel"/>
    <w:tmpl w:val="5F0CA87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E23125"/>
    <w:multiLevelType w:val="multilevel"/>
    <w:tmpl w:val="509A9EE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02103E4"/>
    <w:multiLevelType w:val="multilevel"/>
    <w:tmpl w:val="DAA44742"/>
    <w:lvl w:ilvl="0">
      <w:start w:val="1"/>
      <w:numFmt w:val="decimal"/>
      <w:lvlText w:val="%1."/>
      <w:lvlJc w:val="left"/>
      <w:pPr>
        <w:tabs>
          <w:tab w:val="num" w:pos="0"/>
        </w:tabs>
        <w:ind w:left="5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2A85DD3"/>
    <w:multiLevelType w:val="multilevel"/>
    <w:tmpl w:val="5912A040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DA74614"/>
    <w:multiLevelType w:val="multilevel"/>
    <w:tmpl w:val="6BCCE77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4557695">
    <w:abstractNumId w:val="15"/>
  </w:num>
  <w:num w:numId="2" w16cid:durableId="1109590451">
    <w:abstractNumId w:val="13"/>
  </w:num>
  <w:num w:numId="3" w16cid:durableId="852652290">
    <w:abstractNumId w:val="17"/>
  </w:num>
  <w:num w:numId="4" w16cid:durableId="1945532314">
    <w:abstractNumId w:val="19"/>
  </w:num>
  <w:num w:numId="5" w16cid:durableId="1989900967">
    <w:abstractNumId w:val="0"/>
  </w:num>
  <w:num w:numId="6" w16cid:durableId="1068842565">
    <w:abstractNumId w:val="14"/>
  </w:num>
  <w:num w:numId="7" w16cid:durableId="572816055">
    <w:abstractNumId w:val="21"/>
  </w:num>
  <w:num w:numId="8" w16cid:durableId="509874248">
    <w:abstractNumId w:val="3"/>
  </w:num>
  <w:num w:numId="9" w16cid:durableId="63454068">
    <w:abstractNumId w:val="9"/>
  </w:num>
  <w:num w:numId="10" w16cid:durableId="713163075">
    <w:abstractNumId w:val="11"/>
  </w:num>
  <w:num w:numId="11" w16cid:durableId="2047673503">
    <w:abstractNumId w:val="6"/>
  </w:num>
  <w:num w:numId="12" w16cid:durableId="1751534477">
    <w:abstractNumId w:val="5"/>
  </w:num>
  <w:num w:numId="13" w16cid:durableId="417093835">
    <w:abstractNumId w:val="2"/>
  </w:num>
  <w:num w:numId="14" w16cid:durableId="1292899688">
    <w:abstractNumId w:val="20"/>
  </w:num>
  <w:num w:numId="15" w16cid:durableId="1029112360">
    <w:abstractNumId w:val="8"/>
  </w:num>
  <w:num w:numId="16" w16cid:durableId="919872759">
    <w:abstractNumId w:val="1"/>
  </w:num>
  <w:num w:numId="17" w16cid:durableId="2074543183">
    <w:abstractNumId w:val="16"/>
  </w:num>
  <w:num w:numId="18" w16cid:durableId="1049456755">
    <w:abstractNumId w:val="4"/>
  </w:num>
  <w:num w:numId="19" w16cid:durableId="1671637346">
    <w:abstractNumId w:val="18"/>
  </w:num>
  <w:num w:numId="20" w16cid:durableId="477302182">
    <w:abstractNumId w:val="10"/>
  </w:num>
  <w:num w:numId="21" w16cid:durableId="882327015">
    <w:abstractNumId w:val="12"/>
  </w:num>
  <w:num w:numId="22" w16cid:durableId="6238495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4640C"/>
    <w:rsid w:val="0034640C"/>
    <w:rsid w:val="005627B5"/>
    <w:rsid w:val="00F0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741E6"/>
  <w15:docId w15:val="{4E4DA3E5-D43D-4871-9C2F-BF3340F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59" w:lineRule="auto"/>
    </w:pPr>
    <w:rPr>
      <w:rFonts w:ascii="Arial" w:eastAsia="Calibri" w:hAnsi="Arial" w:cs="Times New Roman"/>
      <w:kern w:val="2"/>
      <w:sz w:val="21"/>
      <w:szCs w:val="2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160" w:after="80"/>
      <w:outlineLvl w:val="0"/>
    </w:pPr>
    <w:rPr>
      <w:rFonts w:eastAsia="Times New Roman"/>
      <w:b/>
      <w:bCs/>
      <w:sz w:val="24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160" w:after="80"/>
      <w:outlineLvl w:val="1"/>
    </w:pPr>
    <w:rPr>
      <w:rFonts w:eastAsia="Times New Roman"/>
      <w:b/>
      <w:bCs/>
      <w:i/>
      <w:iCs/>
      <w:sz w:val="22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spacing w:before="160" w:after="80" w:line="276" w:lineRule="auto"/>
      <w:ind w:left="357"/>
      <w:jc w:val="both"/>
      <w:outlineLvl w:val="2"/>
    </w:pPr>
    <w:rPr>
      <w:rFonts w:eastAsia="Times New Roman" w:cs="Calibri Light"/>
      <w:b/>
      <w:bCs/>
      <w:kern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</w:style>
  <w:style w:type="character" w:customStyle="1" w:styleId="WW8Num5z0">
    <w:name w:val="WW8Num5z0"/>
    <w:qFormat/>
  </w:style>
  <w:style w:type="character" w:customStyle="1" w:styleId="WW8Num10z0">
    <w:name w:val="WW8Num10z0"/>
    <w:qFormat/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sz w:val="20"/>
    </w:rPr>
  </w:style>
  <w:style w:type="character" w:customStyle="1" w:styleId="WW8Num19z0">
    <w:name w:val="WW8Num19z0"/>
    <w:qFormat/>
    <w:rPr>
      <w:rFonts w:ascii="Calibri" w:hAnsi="Calibri" w:cs="Calibri"/>
      <w:sz w:val="22"/>
      <w:szCs w:val="22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  <w:color w:val="000000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Symbol" w:eastAsia="Calibri" w:hAnsi="Symbol" w:cs="Calibri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30z1">
    <w:name w:val="WW8Num30z1"/>
    <w:qFormat/>
    <w:rPr>
      <w:rFonts w:ascii="Calibri" w:eastAsia="Calibri" w:hAnsi="Calibri" w:cs="Calibri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6z1">
    <w:name w:val="WW8Num36z1"/>
    <w:qFormat/>
  </w:style>
  <w:style w:type="character" w:customStyle="1" w:styleId="WW8Num37z0">
    <w:name w:val="WW8Num37z0"/>
    <w:qFormat/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4z1">
    <w:name w:val="WW8Num44z1"/>
    <w:qFormat/>
  </w:style>
  <w:style w:type="character" w:customStyle="1" w:styleId="WW8Num48z0">
    <w:name w:val="WW8Num48z0"/>
    <w:qFormat/>
  </w:style>
  <w:style w:type="character" w:customStyle="1" w:styleId="WW8Num49z0">
    <w:name w:val="WW8Num49z0"/>
    <w:qFormat/>
    <w:rPr>
      <w:rFonts w:ascii="Calibri" w:eastAsia="Calibri" w:hAnsi="Calibri" w:cs="Calibri"/>
    </w:rPr>
  </w:style>
  <w:style w:type="character" w:customStyle="1" w:styleId="WW8Num53z0">
    <w:name w:val="WW8Num53z0"/>
    <w:qFormat/>
    <w:rPr>
      <w:b/>
    </w:rPr>
  </w:style>
  <w:style w:type="character" w:customStyle="1" w:styleId="WW8Num58z0">
    <w:name w:val="WW8Num58z0"/>
    <w:qFormat/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65z0">
    <w:name w:val="WW8Num65z0"/>
    <w:qFormat/>
    <w:rPr>
      <w:rFonts w:ascii="Calibri" w:eastAsia="Times New Roman" w:hAnsi="Calibri" w:cs="Calibri"/>
    </w:rPr>
  </w:style>
  <w:style w:type="character" w:customStyle="1" w:styleId="WW8Num72z0">
    <w:name w:val="WW8Num72z0"/>
    <w:qFormat/>
  </w:style>
  <w:style w:type="character" w:customStyle="1" w:styleId="NagwekZnak">
    <w:name w:val="Nagłówek Znak"/>
    <w:qFormat/>
    <w:rPr>
      <w:kern w:val="2"/>
      <w:sz w:val="22"/>
      <w:szCs w:val="22"/>
    </w:rPr>
  </w:style>
  <w:style w:type="character" w:customStyle="1" w:styleId="StopkaZnak">
    <w:name w:val="Stopka Znak"/>
    <w:qFormat/>
    <w:rPr>
      <w:kern w:val="2"/>
      <w:sz w:val="22"/>
      <w:szCs w:val="22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3Znak">
    <w:name w:val="Nagłówek 3 Znak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markedcontent">
    <w:name w:val="markedcontent"/>
    <w:basedOn w:val="Domylnaczcionkaakapitu"/>
    <w:qFormat/>
  </w:style>
  <w:style w:type="character" w:customStyle="1" w:styleId="TekstpodstawowyZnak">
    <w:name w:val="Tekst podstawowy Znak"/>
    <w:qFormat/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</w:rPr>
  </w:style>
  <w:style w:type="character" w:customStyle="1" w:styleId="TytuZnak">
    <w:name w:val="Tytuł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wcityZnak">
    <w:name w:val="Tekst podstawowy wcięty Znak"/>
    <w:qFormat/>
    <w:rPr>
      <w:kern w:val="2"/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qFormat/>
    <w:rPr>
      <w:kern w:val="2"/>
      <w:sz w:val="22"/>
      <w:szCs w:val="22"/>
    </w:rPr>
  </w:style>
  <w:style w:type="paragraph" w:customStyle="1" w:styleId="Heading">
    <w:name w:val="Heading"/>
    <w:basedOn w:val="Normalny"/>
    <w:next w:val="Normalny"/>
    <w:qFormat/>
    <w:pPr>
      <w:spacing w:before="24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styleId="Lista">
    <w:name w:val="List"/>
    <w:basedOn w:val="Normalny"/>
    <w:pPr>
      <w:spacing w:after="160"/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  <w:rPr>
      <w:kern w:val="0"/>
    </w:rPr>
  </w:style>
  <w:style w:type="paragraph" w:styleId="Lista2">
    <w:name w:val="List 2"/>
    <w:basedOn w:val="Normalny"/>
    <w:qFormat/>
    <w:pPr>
      <w:spacing w:after="160"/>
      <w:ind w:left="566" w:hanging="283"/>
      <w:contextualSpacing/>
    </w:pPr>
  </w:style>
  <w:style w:type="paragraph" w:styleId="Lista3">
    <w:name w:val="List 3"/>
    <w:basedOn w:val="Normalny"/>
    <w:qFormat/>
    <w:pPr>
      <w:spacing w:after="160"/>
      <w:ind w:left="849" w:hanging="283"/>
      <w:contextualSpacing/>
    </w:pPr>
  </w:style>
  <w:style w:type="paragraph" w:styleId="Lista4">
    <w:name w:val="List 4"/>
    <w:basedOn w:val="Normalny"/>
    <w:qFormat/>
    <w:pPr>
      <w:spacing w:after="160"/>
      <w:ind w:left="1132" w:hanging="283"/>
      <w:contextualSpacing/>
    </w:pPr>
  </w:style>
  <w:style w:type="paragraph" w:styleId="Lista-kontynuacja">
    <w:name w:val="List Continue"/>
    <w:basedOn w:val="Normalny"/>
    <w:qFormat/>
    <w:pPr>
      <w:spacing w:after="120"/>
      <w:ind w:left="283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qFormat/>
    <w:pPr>
      <w:ind w:firstLine="210"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872</Words>
  <Characters>5238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Zalacznik_1_OPZ_2027</dc:title>
  <dc:subject>AQUALIFT – dostawa energii elektrycznej 2027</dc:subject>
  <dc:creator>Miejska Spółka Komunalna AQUALIFT Sp. z o.o.</dc:creator>
  <cp:keywords/>
  <dc:description/>
  <cp:lastModifiedBy>ciesielskip@AQUALIFT.local</cp:lastModifiedBy>
  <cp:revision>22</cp:revision>
  <dcterms:created xsi:type="dcterms:W3CDTF">2024-07-25T06:02:00Z</dcterms:created>
  <dcterms:modified xsi:type="dcterms:W3CDTF">2026-10-15T06:42:00Z</dcterms:modified>
  <dc:language>en-US</dc:language>
</cp:coreProperties>
</file>