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4549A" w14:textId="77777777" w:rsidR="00D9620B" w:rsidRDefault="00E75060" w:rsidP="00E75060">
      <w:pPr>
        <w:pStyle w:val="Legenda"/>
      </w:pPr>
      <w:r>
        <w:t>ZAŁĄCZNIK NR 3 DO WPZ</w:t>
      </w:r>
    </w:p>
    <w:p w14:paraId="232E7D40" w14:textId="77777777" w:rsidR="00D9620B" w:rsidRDefault="00E75060">
      <w:pPr>
        <w:spacing w:after="280"/>
        <w:jc w:val="center"/>
      </w:pPr>
      <w:r>
        <w:rPr>
          <w:rFonts w:eastAsia="Arial"/>
          <w:b/>
        </w:rPr>
        <w:t>PROJEKT UMOWY SPRZEDAŻY ENERGII ELEKTRYCZNEJ I ODKUPU NADWYŻEK OZE</w:t>
      </w:r>
    </w:p>
    <w:p w14:paraId="4987C9E7" w14:textId="77777777" w:rsidR="00D9620B" w:rsidRDefault="00E75060">
      <w:r>
        <w:rPr>
          <w:rFonts w:eastAsia="Arial"/>
        </w:rPr>
        <w:t>Umowa nr ………………… zawarta w dniu ………………… w Międzychodzie pomiędzy:</w:t>
      </w:r>
    </w:p>
    <w:p w14:paraId="795991F5" w14:textId="77777777" w:rsidR="00D9620B" w:rsidRDefault="00E75060">
      <w:r>
        <w:rPr>
          <w:rFonts w:eastAsia="Arial"/>
        </w:rPr>
        <w:t>Miejską Spółką Komunalną AQUALIFT Sp. z o.o. z siedzibą w Międzychodzie, ul. Bolesława Chrobrego 24A, 64-400 Międzychód, KRS 0000408740, NIP 5951466491, REGON 301993867, reprezentowaną przez Wojciecha Danielczaka – Prezesa Zarządu, zwaną dalej „Zamawiającym”,</w:t>
      </w:r>
    </w:p>
    <w:p w14:paraId="7C416B8C" w14:textId="77777777" w:rsidR="00D9620B" w:rsidRDefault="00E75060">
      <w:r>
        <w:rPr>
          <w:rFonts w:eastAsia="Arial"/>
        </w:rPr>
        <w:t>a</w:t>
      </w:r>
    </w:p>
    <w:p w14:paraId="74C7CA53" w14:textId="77777777" w:rsidR="00D9620B" w:rsidRDefault="00E75060">
      <w:r>
        <w:rPr>
          <w:rFonts w:eastAsia="Arial"/>
        </w:rPr>
        <w:t>…………………………………………………………………………………………………………………………, reprezentowanym przez …………………………………………………………………………………, zwanym dalej „Wykonawcą”.</w:t>
      </w:r>
    </w:p>
    <w:p w14:paraId="2FA9C4B8" w14:textId="77777777" w:rsidR="00D9620B" w:rsidRDefault="00E75060">
      <w:r>
        <w:t>Umowa zostaje zawarta w następstwie postępowania prowadzonego przez Zamawiającego jako podprogowe zamówienie sektorowe związane z działalnością w zakresie gospodarki wodnej. Postępowanie zostało przeprowadzone na podstawie Regulaminu udzielania zamówień obowiązującego u Zamawiającego oraz Warunków Postępowania Zakupowego, bez stosowania proceduralnego reżimu ustawy Prawo zamówień publicznych, z uwagi na wartość zamówienia niższą niż próg unijny właściwy dla sektorowych dostaw i usług. WPZ i oferta Wykonawcy</w:t>
      </w:r>
      <w:r>
        <w:t xml:space="preserve"> stanowią podstawę ustalenia treści Umowy.</w:t>
      </w:r>
    </w:p>
    <w:p w14:paraId="1EEC9658" w14:textId="77777777" w:rsidR="00D9620B" w:rsidRDefault="00E75060">
      <w:pPr>
        <w:pStyle w:val="Nagwek1"/>
      </w:pPr>
      <w:r>
        <w:rPr>
          <w:rFonts w:eastAsia="Arial"/>
        </w:rPr>
        <w:t>§ 1. Przedmiot Umowy</w:t>
      </w:r>
    </w:p>
    <w:p w14:paraId="75507D17" w14:textId="77777777" w:rsidR="00D9620B" w:rsidRDefault="00E75060">
      <w:pPr>
        <w:spacing w:after="40"/>
        <w:ind w:hanging="312"/>
      </w:pPr>
      <w:r>
        <w:rPr>
          <w:rFonts w:eastAsia="Arial"/>
          <w:b/>
        </w:rPr>
        <w:t xml:space="preserve">1. </w:t>
      </w:r>
      <w:r>
        <w:rPr>
          <w:rFonts w:eastAsia="Arial"/>
        </w:rPr>
        <w:t>Przedmiotem Umowy jest sprzedaż przez Wykonawcę energii elektrycznej do PPE Zamawiającego wskazanych w Załączniku nr 1 do Umowy oraz odkup przez Wykonawcę nadwyżek energii elektrycznej wytwarzanej w instalacjach OZE Zamawiającego i wprowadzanej do sieci OSD.</w:t>
      </w:r>
    </w:p>
    <w:p w14:paraId="2BDBD45E" w14:textId="77777777" w:rsidR="00D9620B" w:rsidRDefault="00E75060">
      <w:pPr>
        <w:spacing w:after="40"/>
        <w:ind w:hanging="312"/>
      </w:pPr>
      <w:r>
        <w:rPr>
          <w:rFonts w:eastAsia="Arial"/>
          <w:b/>
        </w:rPr>
        <w:t xml:space="preserve">2. </w:t>
      </w:r>
      <w:r>
        <w:rPr>
          <w:rFonts w:eastAsia="Arial"/>
        </w:rPr>
        <w:t>Umowa nie obejmuje świadczenia usług dystrybucji energii elektrycznej. Usługi dystrybucyjne są świadczone na podstawie odrębnych umów zawartych z właściwym OSD.</w:t>
      </w:r>
    </w:p>
    <w:p w14:paraId="2B6EDB1D" w14:textId="77777777" w:rsidR="00D9620B" w:rsidRDefault="00E75060">
      <w:pPr>
        <w:spacing w:after="40"/>
        <w:ind w:hanging="312"/>
      </w:pPr>
      <w:r>
        <w:rPr>
          <w:rFonts w:eastAsia="Arial"/>
          <w:b/>
        </w:rPr>
        <w:t xml:space="preserve">3. </w:t>
      </w:r>
      <w:r>
        <w:rPr>
          <w:rFonts w:eastAsia="Arial"/>
        </w:rPr>
        <w:t>Sprzedaż i odkup energii są realizowane za pośrednictwem sieci ENEA Operator Sp. z o.o. na podstawie danych pomiarowo-rozliczeniowych przekazywanych przez OSD.</w:t>
      </w:r>
    </w:p>
    <w:p w14:paraId="56D8AD84" w14:textId="77777777" w:rsidR="00D9620B" w:rsidRDefault="00E75060">
      <w:pPr>
        <w:spacing w:after="40"/>
        <w:ind w:hanging="312"/>
      </w:pPr>
      <w:r>
        <w:rPr>
          <w:b/>
        </w:rPr>
        <w:t>4. Szacunkowy wolumen energii pobieranej przez Zamawiającego wynosi 1 280,145 MWh. Zamawiający dopuszcza odchylenie rzeczywistego wolumenu o ±20%, przy czym maksymalny wolumen objęty Umową wynosi 1 536,174 MWh. Szacunkowy wolumen energii przeznaczonej do odkupu wynosi 65,605 MWh i ma charakter wyłącznie orientacyjny. Wolumen odkupu OZE nie wpływa na cenę jednostkową sprzedaży energii ani na limit wolumenu energii kupowanej przez Zamawiającego.</w:t>
      </w:r>
    </w:p>
    <w:p w14:paraId="518593D1" w14:textId="77777777" w:rsidR="00D9620B" w:rsidRDefault="00E75060">
      <w:pPr>
        <w:pStyle w:val="Nagwek1"/>
      </w:pPr>
      <w:r>
        <w:rPr>
          <w:rFonts w:eastAsia="Arial"/>
        </w:rPr>
        <w:t>§ 2. Podstawy realizacji i oświadczenia Stron</w:t>
      </w:r>
    </w:p>
    <w:p w14:paraId="0C84A43A" w14:textId="77777777" w:rsidR="00D9620B" w:rsidRDefault="00E75060">
      <w:pPr>
        <w:spacing w:after="40"/>
        <w:ind w:hanging="312"/>
      </w:pPr>
      <w:r>
        <w:rPr>
          <w:rFonts w:eastAsia="Arial"/>
          <w:b/>
        </w:rPr>
        <w:t xml:space="preserve">1. </w:t>
      </w:r>
      <w:r>
        <w:rPr>
          <w:rFonts w:eastAsia="Arial"/>
        </w:rPr>
        <w:t>Do Umowy stosuje się przepisy Kodeksu cywilnego, ustawy – Prawo energetyczne, ustawy o odnawialnych źródłach energii, przepisy podatkowe oraz inne powszechnie obowiązujące przepisy właściwe dla sprzedaży i odkupu energii elektrycznej.</w:t>
      </w:r>
    </w:p>
    <w:p w14:paraId="579CFCBE" w14:textId="77777777" w:rsidR="00D9620B" w:rsidRDefault="00E75060">
      <w:pPr>
        <w:spacing w:after="40"/>
        <w:ind w:hanging="312"/>
      </w:pPr>
      <w:r>
        <w:rPr>
          <w:rFonts w:eastAsia="Arial"/>
          <w:b/>
        </w:rPr>
        <w:t xml:space="preserve">2. </w:t>
      </w:r>
      <w:r>
        <w:rPr>
          <w:rFonts w:eastAsia="Arial"/>
        </w:rPr>
        <w:t>Wykonawca oświadcza, że przez cały okres Umowy będzie posiadał ważną koncesję Prezesa URE na obrót energią elektryczną oraz ważną GUD z ENEA Operator Sp. z o.o. umożliwiającą realizację Umowy.</w:t>
      </w:r>
    </w:p>
    <w:p w14:paraId="3C98DD4A" w14:textId="77777777" w:rsidR="00D9620B" w:rsidRDefault="00E75060">
      <w:pPr>
        <w:spacing w:after="40"/>
        <w:ind w:hanging="312"/>
      </w:pPr>
      <w:r>
        <w:rPr>
          <w:rFonts w:eastAsia="Arial"/>
          <w:b/>
        </w:rPr>
        <w:t xml:space="preserve">3. </w:t>
      </w:r>
      <w:r>
        <w:rPr>
          <w:rFonts w:eastAsia="Arial"/>
        </w:rPr>
        <w:t>Wykonawca podaje numer GUD: ……………………………………………………… . Zamawiający nie wymaga przekazywania pełnej treści GUD.</w:t>
      </w:r>
    </w:p>
    <w:p w14:paraId="4F6E38AC" w14:textId="77777777" w:rsidR="00D9620B" w:rsidRDefault="00E75060">
      <w:pPr>
        <w:spacing w:after="40"/>
        <w:ind w:hanging="312"/>
      </w:pPr>
      <w:r>
        <w:rPr>
          <w:rFonts w:eastAsia="Arial"/>
          <w:b/>
        </w:rPr>
        <w:t xml:space="preserve">4. </w:t>
      </w:r>
      <w:r>
        <w:rPr>
          <w:rFonts w:eastAsia="Arial"/>
        </w:rPr>
        <w:t>Zamawiający wyraża zgodę na udostępnianie Wykonawcy przez OSD danych pomiarowo-rozliczeniowych w zakresie niezbędnym do wykonania Umowy.</w:t>
      </w:r>
    </w:p>
    <w:p w14:paraId="528101B0" w14:textId="77777777" w:rsidR="00D9620B" w:rsidRDefault="00E75060">
      <w:pPr>
        <w:pStyle w:val="Nagwek1"/>
      </w:pPr>
      <w:r>
        <w:rPr>
          <w:rFonts w:eastAsia="Arial"/>
        </w:rPr>
        <w:lastRenderedPageBreak/>
        <w:t>§ 3. Obowiązki Wykonawcy i Zamawiającego</w:t>
      </w:r>
    </w:p>
    <w:p w14:paraId="3A2AA9A9" w14:textId="77777777" w:rsidR="00D9620B" w:rsidRDefault="00E75060">
      <w:pPr>
        <w:spacing w:after="40"/>
        <w:ind w:hanging="312"/>
      </w:pPr>
      <w:r>
        <w:rPr>
          <w:rFonts w:eastAsia="Arial"/>
          <w:b/>
        </w:rPr>
        <w:t xml:space="preserve">1. </w:t>
      </w:r>
      <w:r>
        <w:rPr>
          <w:rFonts w:eastAsia="Arial"/>
        </w:rPr>
        <w:t>Wykonawca zobowiązuje się do ciągłej sprzedaży energii elektrycznej, prawidłowego bilansowania handlowego, terminowego zgłoszenia Umowy do OSD oraz prowadzenia rozliczeń zgodnie z Umową.</w:t>
      </w:r>
    </w:p>
    <w:p w14:paraId="11BB8161" w14:textId="77777777" w:rsidR="00D9620B" w:rsidRDefault="00E75060">
      <w:pPr>
        <w:spacing w:after="40"/>
        <w:ind w:hanging="312"/>
      </w:pPr>
      <w:r>
        <w:rPr>
          <w:rFonts w:eastAsia="Arial"/>
          <w:b/>
        </w:rPr>
        <w:t xml:space="preserve">2. </w:t>
      </w:r>
      <w:r>
        <w:rPr>
          <w:rFonts w:eastAsia="Arial"/>
        </w:rPr>
        <w:t>Wykonawca pełni funkcję podmiotu odpowiedzialnego za bilansowanie handlowe w zakresie energii pobieranej przez Zamawiającego oraz energii wprowadzanej do sieci i objętej odkupem. Wszystkie koszty bilansowania leżą po stronie Wykonawcy i są uwzględnione odpowiednio w cenie sprzedaży oraz formule odkupu.</w:t>
      </w:r>
    </w:p>
    <w:p w14:paraId="615F1691" w14:textId="77777777" w:rsidR="00D9620B" w:rsidRDefault="00E75060">
      <w:pPr>
        <w:spacing w:after="40"/>
        <w:ind w:hanging="312"/>
      </w:pPr>
      <w:r>
        <w:rPr>
          <w:rFonts w:eastAsia="Arial"/>
          <w:b/>
        </w:rPr>
        <w:t xml:space="preserve">3. </w:t>
      </w:r>
      <w:r>
        <w:rPr>
          <w:rFonts w:eastAsia="Arial"/>
        </w:rPr>
        <w:t>Wykonawca zobowiązuje się do odkupu całej energii wprowadzonej do sieci z instalacji OZE Zamawiającego objętych Umową, o ile OSD przekaże dane pozwalające na jej rozliczenie.</w:t>
      </w:r>
    </w:p>
    <w:p w14:paraId="17F19896" w14:textId="77777777" w:rsidR="00D9620B" w:rsidRDefault="00E75060">
      <w:pPr>
        <w:spacing w:after="40"/>
        <w:ind w:hanging="312"/>
      </w:pPr>
      <w:r>
        <w:rPr>
          <w:rFonts w:eastAsia="Arial"/>
          <w:b/>
        </w:rPr>
        <w:t xml:space="preserve">4. </w:t>
      </w:r>
      <w:r>
        <w:rPr>
          <w:rFonts w:eastAsia="Arial"/>
        </w:rPr>
        <w:t>Zamawiający zobowiązuje się do terminowego regulowania należności za pobraną energię oraz przekazania danych i pełnomocnictw niezbędnych do zgłoszenia Umowy do OSD.</w:t>
      </w:r>
    </w:p>
    <w:p w14:paraId="2A777927" w14:textId="77777777" w:rsidR="00D9620B" w:rsidRDefault="00E75060">
      <w:pPr>
        <w:spacing w:after="40"/>
        <w:ind w:hanging="312"/>
      </w:pPr>
      <w:r>
        <w:rPr>
          <w:rFonts w:eastAsia="Arial"/>
          <w:b/>
        </w:rPr>
        <w:t xml:space="preserve">5. </w:t>
      </w:r>
      <w:r>
        <w:rPr>
          <w:rFonts w:eastAsia="Arial"/>
        </w:rPr>
        <w:t>Zamawiający zobowiązuje się do sprzedaży Wykonawcy nadwyżek energii elektrycznej objętych Umową, a Wykonawca do zapłaty ceny odkupu ustalonej zgodnie z § 5.</w:t>
      </w:r>
    </w:p>
    <w:p w14:paraId="446F8BA9" w14:textId="77777777" w:rsidR="00D9620B" w:rsidRDefault="00E75060">
      <w:pPr>
        <w:pStyle w:val="Nagwek1"/>
      </w:pPr>
      <w:r>
        <w:rPr>
          <w:rFonts w:eastAsia="Arial"/>
        </w:rPr>
        <w:t>§ 4. Bilansowanie handlowe i standardy</w:t>
      </w:r>
    </w:p>
    <w:p w14:paraId="064D989B" w14:textId="77777777" w:rsidR="00D9620B" w:rsidRDefault="00E75060">
      <w:pPr>
        <w:spacing w:after="40"/>
        <w:ind w:hanging="312"/>
      </w:pPr>
      <w:r>
        <w:rPr>
          <w:rFonts w:eastAsia="Arial"/>
          <w:b/>
        </w:rPr>
        <w:t xml:space="preserve">1. </w:t>
      </w:r>
      <w:r>
        <w:rPr>
          <w:rFonts w:eastAsia="Arial"/>
        </w:rPr>
        <w:t>Wykonawca ponosi wszelkie koszty związane z bilansowaniem handlowym i nie może obciążać nimi Zamawiającego w odrębnej pozycji rozliczeniowej.</w:t>
      </w:r>
    </w:p>
    <w:p w14:paraId="69E42D5A" w14:textId="77777777" w:rsidR="00D9620B" w:rsidRDefault="00E75060">
      <w:pPr>
        <w:spacing w:after="40"/>
        <w:ind w:hanging="312"/>
      </w:pPr>
      <w:r>
        <w:rPr>
          <w:rFonts w:eastAsia="Arial"/>
          <w:b/>
        </w:rPr>
        <w:t xml:space="preserve">2. </w:t>
      </w:r>
      <w:r>
        <w:rPr>
          <w:rFonts w:eastAsia="Arial"/>
        </w:rPr>
        <w:t>Wykonawca zapewnia standardy jakościowe obsługi zgodnie z obowiązującymi przepisami prawa energetycznego.</w:t>
      </w:r>
    </w:p>
    <w:p w14:paraId="71ACB4A0" w14:textId="77777777" w:rsidR="00D9620B" w:rsidRDefault="00E75060">
      <w:pPr>
        <w:spacing w:after="40"/>
        <w:ind w:hanging="312"/>
      </w:pPr>
      <w:r>
        <w:rPr>
          <w:rFonts w:eastAsia="Arial"/>
          <w:b/>
        </w:rPr>
        <w:t xml:space="preserve">3. </w:t>
      </w:r>
      <w:r>
        <w:rPr>
          <w:rFonts w:eastAsia="Arial"/>
        </w:rPr>
        <w:t>Wykonawca nie odpowiada za przerwy lub ograniczenia w dostarczaniu energii wynikające z działania OSD, siły wyższej lub awarii sieci, chyba że do ich powstania przyczyniło się działanie lub zaniechanie Wykonawcy.</w:t>
      </w:r>
    </w:p>
    <w:p w14:paraId="099A63A7" w14:textId="77777777" w:rsidR="00D9620B" w:rsidRDefault="00E75060">
      <w:pPr>
        <w:pStyle w:val="Nagwek1"/>
      </w:pPr>
      <w:r>
        <w:rPr>
          <w:rFonts w:eastAsia="Arial"/>
        </w:rPr>
        <w:t>§ 5. Cena sprzedaży energii i cena odkupu</w:t>
      </w:r>
    </w:p>
    <w:tbl>
      <w:tblPr>
        <w:tblW w:w="0" w:type="auto"/>
        <w:jc w:val="center"/>
        <w:tblCellMar>
          <w:left w:w="10" w:type="dxa"/>
          <w:right w:w="10" w:type="dxa"/>
        </w:tblCellMar>
        <w:tblLook w:val="04A0" w:firstRow="1" w:lastRow="0" w:firstColumn="1" w:lastColumn="0" w:noHBand="0" w:noVBand="1"/>
      </w:tblPr>
      <w:tblGrid>
        <w:gridCol w:w="9406"/>
      </w:tblGrid>
      <w:tr w:rsidR="00D9620B" w14:paraId="71E5BECD" w14:textId="77777777">
        <w:tblPrEx>
          <w:tblCellMar>
            <w:top w:w="0" w:type="dxa"/>
            <w:bottom w:w="0" w:type="dxa"/>
          </w:tblCellMar>
        </w:tblPrEx>
        <w:trPr>
          <w:jc w:val="center"/>
        </w:trPr>
        <w:tc>
          <w:tcPr>
            <w:tcW w:w="9406" w:type="dxa"/>
            <w:shd w:val="clear" w:color="auto" w:fill="FFF2CC"/>
            <w:tcMar>
              <w:top w:w="100" w:type="dxa"/>
              <w:left w:w="120" w:type="dxa"/>
              <w:bottom w:w="100" w:type="dxa"/>
              <w:right w:w="120" w:type="dxa"/>
            </w:tcMar>
          </w:tcPr>
          <w:p w14:paraId="02EDA529" w14:textId="77777777" w:rsidR="00D9620B" w:rsidRDefault="00E75060">
            <w:pPr>
              <w:spacing w:after="0"/>
            </w:pPr>
            <w:r>
              <w:rPr>
                <w:rFonts w:eastAsia="Arial"/>
                <w:b/>
                <w:sz w:val="19"/>
              </w:rPr>
              <w:t>Cena sprzedaży energii jest niezmienna. Zmienny jest wyłącznie miesięczny indeks używany do wyliczenia ceny odkupu OZE; stały pozostaje współczynnik 80%.</w:t>
            </w:r>
          </w:p>
        </w:tc>
      </w:tr>
    </w:tbl>
    <w:p w14:paraId="15D5C56C" w14:textId="77777777" w:rsidR="00D9620B" w:rsidRDefault="00D9620B">
      <w:pPr>
        <w:spacing w:after="20"/>
      </w:pPr>
    </w:p>
    <w:p w14:paraId="45038FE2" w14:textId="77777777" w:rsidR="00D9620B" w:rsidRDefault="00E75060">
      <w:pPr>
        <w:spacing w:after="40"/>
        <w:ind w:hanging="312"/>
      </w:pPr>
      <w:r>
        <w:rPr>
          <w:rFonts w:eastAsia="Arial"/>
          <w:b/>
        </w:rPr>
        <w:t xml:space="preserve">1. </w:t>
      </w:r>
      <w:r>
        <w:rPr>
          <w:rFonts w:eastAsia="Arial"/>
        </w:rPr>
        <w:t>Cena jednostkowa netto sprzedaży energii elektrycznej wynosi ………………… zł/MWh i obowiązuje w każdym PPE, każdej grupie taryfowej i każdej strefie czasowej objętej Umową.</w:t>
      </w:r>
    </w:p>
    <w:p w14:paraId="34B3AE2A" w14:textId="77777777" w:rsidR="00D9620B" w:rsidRDefault="00E75060">
      <w:pPr>
        <w:spacing w:after="40"/>
        <w:ind w:hanging="312"/>
      </w:pPr>
      <w:r>
        <w:rPr>
          <w:rFonts w:eastAsia="Arial"/>
          <w:b/>
        </w:rPr>
        <w:t xml:space="preserve">2. </w:t>
      </w:r>
      <w:r>
        <w:rPr>
          <w:rFonts w:eastAsia="Arial"/>
        </w:rPr>
        <w:t>Cena jednostkowa netto, o której mowa w ust. 1, jest stała, ostateczna i niezmienna przez cały okres obowiązywania Umowy. Nie podlega waloryzacji, indeksacji, aktualizacji ani renegocjacji z powodu zmian cen energii na TGE lub innych rynkach, inflacji, zmian cen paliw, CO2, praw majątkowych, kosztów bilansowania, kursów walut, stóp procentowych, kosztów finansowania, profilu zużycia, kosztów zakupu energii, akcyzy, innych kosztów działalności Wykonawcy ani innych czynników rynkowych lub kosztowych.</w:t>
      </w:r>
    </w:p>
    <w:p w14:paraId="6C2D4BA9" w14:textId="77777777" w:rsidR="00D9620B" w:rsidRDefault="00E75060">
      <w:pPr>
        <w:spacing w:after="40"/>
        <w:ind w:hanging="312"/>
      </w:pPr>
      <w:r>
        <w:rPr>
          <w:rFonts w:eastAsia="Arial"/>
          <w:b/>
        </w:rPr>
        <w:t xml:space="preserve">3. </w:t>
      </w:r>
      <w:r>
        <w:rPr>
          <w:rFonts w:eastAsia="Arial"/>
        </w:rPr>
        <w:t>Cena z ust. 1 obejmuje wszystkie koszty Wykonawcy związane z realizacją Umowy, w tym bilansowanie handlowe, marżę, akcyzę i opłaty handlowe. Wykonawcy nie przysługuje żadna dodatkowa opłata handlowa, abonamentowa, za bilansowanie ani inne świadczenie o podobnym charakterze.</w:t>
      </w:r>
    </w:p>
    <w:p w14:paraId="20BC7A66" w14:textId="77777777" w:rsidR="00D9620B" w:rsidRDefault="00E75060">
      <w:pPr>
        <w:spacing w:after="40"/>
        <w:ind w:hanging="312"/>
      </w:pPr>
      <w:r>
        <w:rPr>
          <w:rFonts w:eastAsia="Arial"/>
          <w:b/>
        </w:rPr>
        <w:t xml:space="preserve">4. </w:t>
      </w:r>
      <w:r>
        <w:rPr>
          <w:rFonts w:eastAsia="Arial"/>
        </w:rPr>
        <w:t>Zmiana stawki VAT powoduje odpowiednią zmianę wyłącznie kwoty VAT i wartości brutto, jeżeli jest to wymagane przez prawo, bez zmiany ceny jednostkowej netto określonej w ust. 1.</w:t>
      </w:r>
    </w:p>
    <w:p w14:paraId="79B05306" w14:textId="77777777" w:rsidR="00D9620B" w:rsidRDefault="00E75060">
      <w:pPr>
        <w:spacing w:after="40"/>
        <w:ind w:hanging="312"/>
      </w:pPr>
      <w:r>
        <w:rPr>
          <w:rFonts w:eastAsia="Arial"/>
          <w:b/>
        </w:rPr>
        <w:t xml:space="preserve">5. </w:t>
      </w:r>
      <w:r>
        <w:rPr>
          <w:rFonts w:eastAsia="Arial"/>
        </w:rPr>
        <w:t xml:space="preserve">Cena jednostkowa netto odkupu energii elektrycznej wprowadzonej do sieci przez Zamawiającego w miesiącu m jest obliczana według wzoru: </w:t>
      </w:r>
      <w:proofErr w:type="spellStart"/>
      <w:r>
        <w:rPr>
          <w:rFonts w:eastAsia="Arial"/>
        </w:rPr>
        <w:t>C_odkup,m</w:t>
      </w:r>
      <w:proofErr w:type="spellEnd"/>
      <w:r>
        <w:rPr>
          <w:rFonts w:eastAsia="Arial"/>
        </w:rPr>
        <w:t xml:space="preserve"> = 0,80 × </w:t>
      </w:r>
      <w:proofErr w:type="spellStart"/>
      <w:r>
        <w:rPr>
          <w:rFonts w:eastAsia="Arial"/>
        </w:rPr>
        <w:t>TGeBASE_WAvg,m</w:t>
      </w:r>
      <w:proofErr w:type="spellEnd"/>
      <w:r>
        <w:rPr>
          <w:rFonts w:eastAsia="Arial"/>
        </w:rPr>
        <w:t>.</w:t>
      </w:r>
    </w:p>
    <w:p w14:paraId="7C6E0151" w14:textId="77777777" w:rsidR="00D9620B" w:rsidRDefault="00E75060">
      <w:pPr>
        <w:spacing w:after="40"/>
        <w:ind w:hanging="312"/>
      </w:pPr>
      <w:r>
        <w:rPr>
          <w:rFonts w:eastAsia="Arial"/>
          <w:b/>
        </w:rPr>
        <w:t xml:space="preserve">6. </w:t>
      </w:r>
      <w:proofErr w:type="spellStart"/>
      <w:r>
        <w:rPr>
          <w:rFonts w:eastAsia="Arial"/>
        </w:rPr>
        <w:t>TGeBASE_WAvg,m</w:t>
      </w:r>
      <w:proofErr w:type="spellEnd"/>
      <w:r>
        <w:rPr>
          <w:rFonts w:eastAsia="Arial"/>
        </w:rPr>
        <w:t xml:space="preserve"> oznacza wartość indeksu </w:t>
      </w:r>
      <w:proofErr w:type="spellStart"/>
      <w:r>
        <w:rPr>
          <w:rFonts w:eastAsia="Arial"/>
        </w:rPr>
        <w:t>TGeBASE_WAvg</w:t>
      </w:r>
      <w:proofErr w:type="spellEnd"/>
      <w:r>
        <w:rPr>
          <w:rFonts w:eastAsia="Arial"/>
        </w:rPr>
        <w:t xml:space="preserve"> za miesiąc m publikowaną przez Towarową Giełdę Energii S.A. Indeks odpowiada miesięcznej średniej cenie Rynku Dnia Następnego ważonej wolumenem obrotu. Źródło publikacji: https://tge.pl/dane-statystyczne.</w:t>
      </w:r>
    </w:p>
    <w:p w14:paraId="23356F3F" w14:textId="77777777" w:rsidR="00D9620B" w:rsidRDefault="00E75060">
      <w:pPr>
        <w:spacing w:after="40"/>
        <w:ind w:hanging="312"/>
      </w:pPr>
      <w:r>
        <w:rPr>
          <w:rFonts w:eastAsia="Arial"/>
          <w:b/>
        </w:rPr>
        <w:lastRenderedPageBreak/>
        <w:t xml:space="preserve">7. </w:t>
      </w:r>
      <w:r>
        <w:rPr>
          <w:rFonts w:eastAsia="Arial"/>
        </w:rPr>
        <w:t>Cena odkupu jest zaokrąglana do dwóch miejsc po przecinku w zł/MWh. Współczynnik 0,80 jest niezmienny przez cały okres Umowy.</w:t>
      </w:r>
    </w:p>
    <w:p w14:paraId="53F9903D" w14:textId="77777777" w:rsidR="00D9620B" w:rsidRDefault="00E75060">
      <w:pPr>
        <w:spacing w:after="40"/>
        <w:ind w:hanging="312"/>
      </w:pPr>
      <w:r>
        <w:rPr>
          <w:rFonts w:eastAsia="Arial"/>
          <w:b/>
        </w:rPr>
        <w:t xml:space="preserve">8. </w:t>
      </w:r>
      <w:r>
        <w:rPr>
          <w:rFonts w:eastAsia="Arial"/>
        </w:rPr>
        <w:t>Cena odkupu obliczona zgodnie z ust. 5–7 jest ceną końcową netto. Wykonawca nie może dokonywać dodatkowych potrąceń z tytułu bilansowania, profilu produkcji OZE, opłat handlowych, cen godzinowych, występowania cen ujemnych w poszczególnych godzinach ani innych kosztów.</w:t>
      </w:r>
    </w:p>
    <w:p w14:paraId="281F5186" w14:textId="77777777" w:rsidR="00D9620B" w:rsidRDefault="00E75060">
      <w:pPr>
        <w:spacing w:after="40"/>
        <w:ind w:hanging="312"/>
      </w:pPr>
      <w:r>
        <w:rPr>
          <w:rFonts w:eastAsia="Arial"/>
          <w:b/>
        </w:rPr>
        <w:t xml:space="preserve">9. </w:t>
      </w:r>
      <w:r>
        <w:rPr>
          <w:rFonts w:eastAsia="Arial"/>
        </w:rPr>
        <w:t xml:space="preserve">Jeżeli TGE skoryguje opublikowany indeks, Strony dokonają odpowiedniej korekty rozliczenia. Jeżeli </w:t>
      </w:r>
      <w:proofErr w:type="spellStart"/>
      <w:r>
        <w:rPr>
          <w:rFonts w:eastAsia="Arial"/>
        </w:rPr>
        <w:t>TGeBASE_WAvg</w:t>
      </w:r>
      <w:proofErr w:type="spellEnd"/>
      <w:r>
        <w:rPr>
          <w:rFonts w:eastAsia="Arial"/>
        </w:rPr>
        <w:t xml:space="preserve"> zostanie trwale zastąpiony, stosuje się oficjalny indeks następczy TGE o odpowiadającej metodologii, a w razie jego braku – publikowaną przez TGE miesięczną średnią cenę RDN ważoną wolumenem obrotu.</w:t>
      </w:r>
    </w:p>
    <w:p w14:paraId="54874198" w14:textId="77777777" w:rsidR="00D9620B" w:rsidRDefault="00E75060">
      <w:pPr>
        <w:spacing w:after="40"/>
        <w:ind w:hanging="312"/>
      </w:pPr>
      <w:r>
        <w:rPr>
          <w:rFonts w:eastAsia="Arial"/>
          <w:b/>
        </w:rPr>
        <w:t xml:space="preserve">10. </w:t>
      </w:r>
      <w:r>
        <w:rPr>
          <w:rFonts w:eastAsia="Arial"/>
        </w:rPr>
        <w:t>Łączne wynagrodzenie Wykonawcy z tytułu sprzedaży energii zależy od faktycznie pobranej ilości energii i ceny jednostkowej z ust. 1. Wykonawcy nie przysługuje roszczenie z tytułu niewykorzystania prognozowanego wolumenu.</w:t>
      </w:r>
    </w:p>
    <w:p w14:paraId="63EC3BBC" w14:textId="77777777" w:rsidR="00D9620B" w:rsidRDefault="00E75060">
      <w:pPr>
        <w:pStyle w:val="Nagwek1"/>
      </w:pPr>
      <w:r>
        <w:rPr>
          <w:rFonts w:eastAsia="Arial"/>
        </w:rPr>
        <w:t>§ 6. Rozliczenia, faktury i płatności</w:t>
      </w:r>
    </w:p>
    <w:p w14:paraId="78BC7B21" w14:textId="77777777" w:rsidR="00D9620B" w:rsidRDefault="00E75060">
      <w:pPr>
        <w:spacing w:after="40"/>
        <w:ind w:hanging="312"/>
      </w:pPr>
      <w:r>
        <w:rPr>
          <w:rFonts w:eastAsia="Arial"/>
          <w:b/>
        </w:rPr>
        <w:t xml:space="preserve">1. </w:t>
      </w:r>
      <w:r>
        <w:rPr>
          <w:rFonts w:eastAsia="Arial"/>
        </w:rPr>
        <w:t>Rozliczenia sprzedaży energii odbywają się na podstawie danych pomiarowo-rozliczeniowych OSD za okresy stosowane przez OSD. W przypadku braku danych dopuszcza się fakturę prognozowaną z obowiązkiem późniejszej korekty do danych rzeczywistych.</w:t>
      </w:r>
    </w:p>
    <w:p w14:paraId="71CC870A" w14:textId="77777777" w:rsidR="00D9620B" w:rsidRDefault="00E75060">
      <w:pPr>
        <w:spacing w:after="40"/>
        <w:ind w:hanging="312"/>
      </w:pPr>
      <w:r>
        <w:rPr>
          <w:rFonts w:eastAsia="Arial"/>
          <w:b/>
        </w:rPr>
        <w:t xml:space="preserve">2. </w:t>
      </w:r>
      <w:r>
        <w:rPr>
          <w:rFonts w:eastAsia="Arial"/>
        </w:rPr>
        <w:t>Należność Wykonawcy za energię pobraną przez Zamawiającego stanowi iloczyn faktycznej ilości energii [MWh] i stałej ceny jednostkowej netto określonej w § 5 ust. 1, powiększony o należny VAT.</w:t>
      </w:r>
    </w:p>
    <w:p w14:paraId="4E6573C2" w14:textId="77777777" w:rsidR="00D9620B" w:rsidRDefault="00E75060">
      <w:pPr>
        <w:spacing w:after="40"/>
        <w:ind w:hanging="312"/>
      </w:pPr>
      <w:r>
        <w:rPr>
          <w:rFonts w:eastAsia="Arial"/>
          <w:b/>
        </w:rPr>
        <w:t xml:space="preserve">3. </w:t>
      </w:r>
      <w:r>
        <w:rPr>
          <w:rFonts w:eastAsia="Arial"/>
        </w:rPr>
        <w:t xml:space="preserve">Faktury powinny być wystawiane i udostępniane w </w:t>
      </w:r>
      <w:proofErr w:type="spellStart"/>
      <w:r>
        <w:rPr>
          <w:rFonts w:eastAsia="Arial"/>
        </w:rPr>
        <w:t>KSeF</w:t>
      </w:r>
      <w:proofErr w:type="spellEnd"/>
      <w:r>
        <w:rPr>
          <w:rFonts w:eastAsia="Arial"/>
        </w:rPr>
        <w:t xml:space="preserve"> zgodnie z obowiązującymi przepisami. W przypadku prawnie dopuszczalnego trybu awaryjnego Strony stosują właściwe procedury przewidziane dla </w:t>
      </w:r>
      <w:proofErr w:type="spellStart"/>
      <w:r>
        <w:rPr>
          <w:rFonts w:eastAsia="Arial"/>
        </w:rPr>
        <w:t>KSeF</w:t>
      </w:r>
      <w:proofErr w:type="spellEnd"/>
      <w:r>
        <w:rPr>
          <w:rFonts w:eastAsia="Arial"/>
        </w:rPr>
        <w:t>.</w:t>
      </w:r>
    </w:p>
    <w:p w14:paraId="2516AD53" w14:textId="77777777" w:rsidR="00D9620B" w:rsidRDefault="00E75060">
      <w:pPr>
        <w:spacing w:after="40"/>
        <w:ind w:hanging="312"/>
      </w:pPr>
      <w:r>
        <w:rPr>
          <w:rFonts w:eastAsia="Arial"/>
          <w:b/>
        </w:rPr>
        <w:t xml:space="preserve">4. </w:t>
      </w:r>
      <w:r>
        <w:rPr>
          <w:rFonts w:eastAsia="Arial"/>
        </w:rPr>
        <w:t>Termin płatności faktur Wykonawcy wynosi 21 dni od dnia prawidłowego wystawienia i udostępnienia faktury zgodnie z przepisami. Za dzień zapłaty uznaje się dzień uznania rachunku bankowego Wykonawcy.</w:t>
      </w:r>
    </w:p>
    <w:p w14:paraId="72040671" w14:textId="77777777" w:rsidR="00D9620B" w:rsidRDefault="00E75060">
      <w:pPr>
        <w:spacing w:after="40"/>
        <w:ind w:hanging="312"/>
      </w:pPr>
      <w:r>
        <w:rPr>
          <w:rFonts w:eastAsia="Arial"/>
          <w:b/>
        </w:rPr>
        <w:t xml:space="preserve">5. </w:t>
      </w:r>
      <w:r>
        <w:rPr>
          <w:rFonts w:eastAsia="Arial"/>
        </w:rPr>
        <w:t>Do faktury albo w danych powiązanych z fakturą Wykonawca zapewni specyfikację zawierającą co najmniej numer PPE, okres rozliczeniowy, grupę taryfową, ilość energii i wartość rozliczenia. Zamawiający może przekazać listę określającą sposób grupowania PPE.</w:t>
      </w:r>
    </w:p>
    <w:p w14:paraId="1F780D39" w14:textId="77777777" w:rsidR="00D9620B" w:rsidRDefault="00E75060">
      <w:pPr>
        <w:spacing w:after="40"/>
        <w:ind w:hanging="312"/>
      </w:pPr>
      <w:r>
        <w:rPr>
          <w:rFonts w:eastAsia="Arial"/>
          <w:b/>
        </w:rPr>
        <w:t xml:space="preserve">6. </w:t>
      </w:r>
      <w:r>
        <w:rPr>
          <w:rFonts w:eastAsia="Arial"/>
        </w:rPr>
        <w:t xml:space="preserve">Rozliczenie odkupu nadwyżek OZE jest miesięczne i następuje po udostępnieniu danych OSD oraz publikacji wartości </w:t>
      </w:r>
      <w:proofErr w:type="spellStart"/>
      <w:r>
        <w:rPr>
          <w:rFonts w:eastAsia="Arial"/>
        </w:rPr>
        <w:t>TGeBASE_WAvg</w:t>
      </w:r>
      <w:proofErr w:type="spellEnd"/>
      <w:r>
        <w:rPr>
          <w:rFonts w:eastAsia="Arial"/>
        </w:rPr>
        <w:t xml:space="preserve"> za dany miesiąc. Należność Zamawiającego stanowi iloczyn ilości energii wprowadzonej do sieci [MWh] i ceny odkupu z § 5 ust. 5–9, powiększony o VAT, jeżeli jest należny.</w:t>
      </w:r>
    </w:p>
    <w:p w14:paraId="5B9FF409" w14:textId="77777777" w:rsidR="00D9620B" w:rsidRDefault="00E75060">
      <w:pPr>
        <w:spacing w:after="40"/>
        <w:ind w:hanging="312"/>
      </w:pPr>
      <w:r>
        <w:rPr>
          <w:rFonts w:eastAsia="Arial"/>
          <w:b/>
        </w:rPr>
        <w:t xml:space="preserve">7. </w:t>
      </w:r>
      <w:r>
        <w:rPr>
          <w:rFonts w:eastAsia="Arial"/>
        </w:rPr>
        <w:t xml:space="preserve">Zamawiający wystawia fakturę dokumentującą sprzedaż nadwyżek OZE zgodnie z obowiązującymi zasadami </w:t>
      </w:r>
      <w:proofErr w:type="spellStart"/>
      <w:r>
        <w:rPr>
          <w:rFonts w:eastAsia="Arial"/>
        </w:rPr>
        <w:t>KSeF</w:t>
      </w:r>
      <w:proofErr w:type="spellEnd"/>
      <w:r>
        <w:rPr>
          <w:rFonts w:eastAsia="Arial"/>
        </w:rPr>
        <w:t>. Termin płatności należności Zamawiającego wynosi 21 dni od prawidłowego wystawienia i udostępnienia faktury; za dzień zapłaty uznaje się dzień uznania rachunku Zamawiającego.</w:t>
      </w:r>
    </w:p>
    <w:p w14:paraId="2261DD2E" w14:textId="77777777" w:rsidR="00D9620B" w:rsidRDefault="00E75060">
      <w:pPr>
        <w:spacing w:after="40"/>
        <w:ind w:hanging="312"/>
      </w:pPr>
      <w:r>
        <w:rPr>
          <w:rFonts w:eastAsia="Arial"/>
          <w:b/>
        </w:rPr>
        <w:t xml:space="preserve">8. </w:t>
      </w:r>
      <w:r>
        <w:rPr>
          <w:rFonts w:eastAsia="Arial"/>
        </w:rPr>
        <w:t>W razie stwierdzenia błędu pomiarowego, korekty danych OSD albo korekty indeksu TGE Strony dokonują stosownej korekty rozliczenia bez zmiany zasad cenowych określonych w § 5.</w:t>
      </w:r>
    </w:p>
    <w:p w14:paraId="1F6EF45F" w14:textId="77777777" w:rsidR="00D9620B" w:rsidRDefault="00E75060">
      <w:pPr>
        <w:pStyle w:val="Nagwek1"/>
      </w:pPr>
      <w:r>
        <w:rPr>
          <w:rFonts w:eastAsia="Arial"/>
        </w:rPr>
        <w:t>§ 7. Wstrzymanie sprzedaży energii</w:t>
      </w:r>
    </w:p>
    <w:p w14:paraId="7EA19F00" w14:textId="77777777" w:rsidR="00D9620B" w:rsidRDefault="00E75060">
      <w:pPr>
        <w:spacing w:after="40"/>
        <w:ind w:hanging="312"/>
      </w:pPr>
      <w:r>
        <w:rPr>
          <w:rFonts w:eastAsia="Arial"/>
          <w:b/>
        </w:rPr>
        <w:t xml:space="preserve">1. </w:t>
      </w:r>
      <w:r>
        <w:rPr>
          <w:rFonts w:eastAsia="Arial"/>
        </w:rPr>
        <w:t>Wstrzymanie sprzedaży energii z powodu zaległości płatniczych Zamawiającego może nastąpić wyłącznie z zachowaniem wymogów wynikających z powszechnie obowiązujących przepisów prawa energetycznego.</w:t>
      </w:r>
    </w:p>
    <w:p w14:paraId="195DAF93" w14:textId="77777777" w:rsidR="00D9620B" w:rsidRDefault="00E75060">
      <w:pPr>
        <w:spacing w:after="40"/>
        <w:ind w:hanging="312"/>
      </w:pPr>
      <w:r>
        <w:rPr>
          <w:rFonts w:eastAsia="Arial"/>
          <w:b/>
        </w:rPr>
        <w:t xml:space="preserve">2. </w:t>
      </w:r>
      <w:r>
        <w:rPr>
          <w:rFonts w:eastAsia="Arial"/>
        </w:rPr>
        <w:t>Wykonawca jest zobowiązany uprzedzić Zamawiającego o zamiarze podjęcia czynności prowadzących do wstrzymania dostaw oraz wskazać podstawę i wysokość zaległości.</w:t>
      </w:r>
    </w:p>
    <w:p w14:paraId="3A255585" w14:textId="77777777" w:rsidR="00D9620B" w:rsidRDefault="00E75060">
      <w:pPr>
        <w:pStyle w:val="Nagwek1"/>
      </w:pPr>
      <w:r>
        <w:rPr>
          <w:rFonts w:eastAsia="Arial"/>
        </w:rPr>
        <w:lastRenderedPageBreak/>
        <w:t>§ 8. Okres obowiązywania i zmiany zakresu PPE</w:t>
      </w:r>
    </w:p>
    <w:p w14:paraId="454EB538" w14:textId="77777777" w:rsidR="00D9620B" w:rsidRDefault="00E75060">
      <w:pPr>
        <w:spacing w:after="40"/>
        <w:ind w:hanging="312"/>
      </w:pPr>
      <w:r>
        <w:rPr>
          <w:rFonts w:eastAsia="Arial"/>
          <w:b/>
        </w:rPr>
        <w:t xml:space="preserve">1. </w:t>
      </w:r>
      <w:r>
        <w:rPr>
          <w:rFonts w:eastAsia="Arial"/>
        </w:rPr>
        <w:t>Umowa obowiązuje od dnia zawarcia, a sprzedaż energii jest realizowana w okresie od 01.01.2027 r. do 31.12.2027 r., nie wcześniej niż po skutecznym zgłoszeniu Umowy do OSD.</w:t>
      </w:r>
    </w:p>
    <w:p w14:paraId="778B0061" w14:textId="77777777" w:rsidR="00D9620B" w:rsidRDefault="00E75060">
      <w:pPr>
        <w:spacing w:after="40"/>
        <w:ind w:hanging="312"/>
      </w:pPr>
      <w:r>
        <w:rPr>
          <w:rFonts w:eastAsia="Arial"/>
          <w:b/>
        </w:rPr>
        <w:t xml:space="preserve">2. </w:t>
      </w:r>
      <w:r>
        <w:rPr>
          <w:rFonts w:eastAsia="Arial"/>
        </w:rPr>
        <w:t>Umowa wygasa z dniem 31.12.2027 r. bez potrzeby składania dodatkowych oświadczeń i nie ulega automatycznemu przedłużeniu.</w:t>
      </w:r>
    </w:p>
    <w:p w14:paraId="2A9A7DAE" w14:textId="77777777" w:rsidR="00D9620B" w:rsidRDefault="00E75060">
      <w:pPr>
        <w:spacing w:after="40"/>
        <w:ind w:hanging="312"/>
      </w:pPr>
      <w:r>
        <w:rPr>
          <w:rFonts w:eastAsia="Arial"/>
          <w:b/>
        </w:rPr>
        <w:t xml:space="preserve">3. </w:t>
      </w:r>
      <w:r>
        <w:rPr>
          <w:rFonts w:eastAsia="Arial"/>
        </w:rPr>
        <w:t>Zamawiający ma prawo zrezygnować z poszczególnych PPE w przypadku likwidacji, sprzedaży, zmiany statusu prawnego obiektu, zmiany sposobu jego użytkowania lub innych przyczyn organizacyjnych.</w:t>
      </w:r>
    </w:p>
    <w:p w14:paraId="03D43A2E" w14:textId="77777777" w:rsidR="00D9620B" w:rsidRDefault="00E75060">
      <w:pPr>
        <w:spacing w:after="40"/>
        <w:ind w:hanging="312"/>
      </w:pPr>
      <w:r>
        <w:rPr>
          <w:b/>
        </w:rPr>
        <w:t>4. Zamawiający może dodać nowe PPE lub zmienić grupę taryfową w obrębie grup przewidzianych dokumentacją, pod warunkiem że łączny wolumen energii objęty Umową nie przekroczy 1 536,174 MWh, tj. 120% wolumenu bazowego. Przekroczenie tego limitu nie jest dopuszczalne na podstawie niniejszej Umowy. Zmiana liczby PPE, grupy taryfowej lub wolumenu w granicach określonych powyżej nie powoduje zmiany ceny jednostkowej netto.</w:t>
      </w:r>
    </w:p>
    <w:p w14:paraId="7FC8B280" w14:textId="77777777" w:rsidR="00D9620B" w:rsidRDefault="00E75060">
      <w:pPr>
        <w:spacing w:after="40"/>
        <w:ind w:hanging="312"/>
      </w:pPr>
      <w:r>
        <w:rPr>
          <w:rFonts w:eastAsia="Arial"/>
          <w:b/>
        </w:rPr>
        <w:t xml:space="preserve">5. </w:t>
      </w:r>
      <w:r>
        <w:rPr>
          <w:rFonts w:eastAsia="Arial"/>
        </w:rPr>
        <w:t>Każde nowe lub zmienione PPE jest rozliczane według tej samej stałej ceny jednostkowej netto określonej w § 5 ust. 1.</w:t>
      </w:r>
    </w:p>
    <w:p w14:paraId="5174D6C1" w14:textId="77777777" w:rsidR="00D9620B" w:rsidRDefault="00E75060">
      <w:pPr>
        <w:pStyle w:val="Nagwek1"/>
      </w:pPr>
      <w:r>
        <w:rPr>
          <w:rFonts w:eastAsia="Arial"/>
        </w:rPr>
        <w:t>§ 9. Odpowiedzialność i kary umowne</w:t>
      </w:r>
    </w:p>
    <w:p w14:paraId="0A5F8681" w14:textId="77777777" w:rsidR="00D9620B" w:rsidRDefault="00E75060">
      <w:pPr>
        <w:spacing w:after="40"/>
        <w:ind w:hanging="312"/>
      </w:pPr>
      <w:r>
        <w:rPr>
          <w:rFonts w:eastAsia="Arial"/>
          <w:b/>
        </w:rPr>
        <w:t xml:space="preserve">1. </w:t>
      </w:r>
      <w:r>
        <w:rPr>
          <w:rFonts w:eastAsia="Arial"/>
        </w:rPr>
        <w:t>Wykonawca odpowiada za terminowe i prawidłowe zgłoszenie Umowy do OSD. Za każdy dzień opóźnienia w rozpoczęciu sprzedaży wynikającego z nieterminowego lub nieprawidłowego działania Wykonawcy Wykonawca zapłaci Zamawiającemu karę umowną w wysokości 1 000,00 zł.</w:t>
      </w:r>
    </w:p>
    <w:p w14:paraId="0DB7B4EB" w14:textId="77777777" w:rsidR="00D9620B" w:rsidRDefault="00E75060">
      <w:pPr>
        <w:spacing w:after="40"/>
        <w:ind w:hanging="312"/>
      </w:pPr>
      <w:r>
        <w:rPr>
          <w:rFonts w:eastAsia="Arial"/>
          <w:b/>
        </w:rPr>
        <w:t xml:space="preserve">2. </w:t>
      </w:r>
      <w:r>
        <w:rPr>
          <w:rFonts w:eastAsia="Arial"/>
        </w:rPr>
        <w:t>Jeżeli z przyczyn związanych z niewykonaniem lub nienależytym wykonaniem obowiązków Wykonawcy dojdzie do sprzedaży rezerwowej, Wykonawca zwróci Zamawiającemu różnicę pomiędzy kosztem sprzedaży rezerwowej a kosztem, jaki Zamawiający poniósłby przy zastosowaniu ceny z § 5 ust. 1, za okres objęty sprzedażą rezerwową.</w:t>
      </w:r>
    </w:p>
    <w:p w14:paraId="5BA45BBC" w14:textId="77777777" w:rsidR="00D9620B" w:rsidRDefault="00E75060">
      <w:pPr>
        <w:spacing w:after="40"/>
        <w:ind w:hanging="312"/>
      </w:pPr>
      <w:r>
        <w:rPr>
          <w:rFonts w:eastAsia="Arial"/>
          <w:b/>
        </w:rPr>
        <w:t xml:space="preserve">3. </w:t>
      </w:r>
      <w:r>
        <w:rPr>
          <w:rFonts w:eastAsia="Arial"/>
        </w:rPr>
        <w:t>W przypadku odstąpienia od Umowy lub rozwiązania Umowy przez Zamawiającego z powodu rażącego lub uporczywego naruszania Umowy przez Wykonawcę, Wykonawca zapłaci karę umowną w wysokości 20% wartości brutto oferty.</w:t>
      </w:r>
    </w:p>
    <w:p w14:paraId="4B601642" w14:textId="77777777" w:rsidR="00D9620B" w:rsidRDefault="00E75060">
      <w:pPr>
        <w:spacing w:after="40"/>
        <w:ind w:hanging="312"/>
      </w:pPr>
      <w:r>
        <w:rPr>
          <w:rFonts w:eastAsia="Arial"/>
          <w:b/>
        </w:rPr>
        <w:t xml:space="preserve">4. </w:t>
      </w:r>
      <w:r>
        <w:rPr>
          <w:rFonts w:eastAsia="Arial"/>
        </w:rPr>
        <w:t>Łączna wysokość kar umownych naliczonych na podstawie Umowy nie przekroczy 20% wartości brutto oferty, z wyjątkiem obowiązku naprawienia szkody przewyższającej kary umowne, jeżeli szkoda rzeczywiście powstała.</w:t>
      </w:r>
    </w:p>
    <w:p w14:paraId="4042CF72" w14:textId="77777777" w:rsidR="00D9620B" w:rsidRDefault="00E75060">
      <w:pPr>
        <w:spacing w:after="40"/>
        <w:ind w:hanging="312"/>
      </w:pPr>
      <w:r>
        <w:rPr>
          <w:rFonts w:eastAsia="Arial"/>
          <w:b/>
        </w:rPr>
        <w:t xml:space="preserve">5. </w:t>
      </w:r>
      <w:r>
        <w:rPr>
          <w:rFonts w:eastAsia="Arial"/>
        </w:rPr>
        <w:t>Zamawiający może potrącić wymagalne kary umowne z wymagalnych należności Wykonawcy po uprzednim doręczeniu noty obciążeniowej.</w:t>
      </w:r>
    </w:p>
    <w:p w14:paraId="5E1D30B6" w14:textId="77777777" w:rsidR="00D9620B" w:rsidRDefault="00E75060">
      <w:pPr>
        <w:pStyle w:val="Nagwek1"/>
      </w:pPr>
      <w:r>
        <w:rPr>
          <w:rFonts w:eastAsia="Arial"/>
        </w:rPr>
        <w:t>§ 10. Niezmienność ceny i zmiany Umowy</w:t>
      </w:r>
    </w:p>
    <w:p w14:paraId="20E2B054" w14:textId="77777777" w:rsidR="00D9620B" w:rsidRDefault="00E75060">
      <w:pPr>
        <w:spacing w:after="40"/>
        <w:ind w:hanging="312"/>
      </w:pPr>
      <w:r>
        <w:rPr>
          <w:rFonts w:eastAsia="Arial"/>
          <w:b/>
        </w:rPr>
        <w:t xml:space="preserve">1. </w:t>
      </w:r>
      <w:r>
        <w:rPr>
          <w:rFonts w:eastAsia="Arial"/>
        </w:rPr>
        <w:t>Strony zgodnie potwierdzają, że ryzyko zmian cen energii oraz kosztów wykonania Umowy zostało uwzględnione przez Wykonawcę w cenie ofertowej i obciąża Wykonawcę. Zmiany te nie stanowią podstawy do zmiany ceny jednostkowej netto ani do przyznania dodatkowego wynagrodzenia.</w:t>
      </w:r>
    </w:p>
    <w:p w14:paraId="339343CF" w14:textId="77777777" w:rsidR="00D9620B" w:rsidRDefault="00E75060">
      <w:pPr>
        <w:spacing w:after="40"/>
        <w:ind w:hanging="312"/>
      </w:pPr>
      <w:r>
        <w:rPr>
          <w:rFonts w:eastAsia="Arial"/>
          <w:b/>
        </w:rPr>
        <w:t xml:space="preserve">2. </w:t>
      </w:r>
      <w:r>
        <w:rPr>
          <w:rFonts w:eastAsia="Arial"/>
        </w:rPr>
        <w:t>Nie przewiduje się mechanizmu waloryzacji ceny sprzedaży energii elektrycznej. W szczególności nie stosuje się waloryzacji opartej na wskaźnikach GUS, indeksach TGE ani innych indeksach rynkowych.</w:t>
      </w:r>
    </w:p>
    <w:p w14:paraId="339D2601" w14:textId="77777777" w:rsidR="00D9620B" w:rsidRDefault="00E75060">
      <w:pPr>
        <w:spacing w:after="40"/>
        <w:ind w:hanging="312"/>
      </w:pPr>
      <w:r>
        <w:rPr>
          <w:b/>
        </w:rPr>
        <w:t>3. Zmiana Umowy nie może prowadzić do podwyższenia ani obniżenia ceny jednostkowej netto określonej w § 5 ust. 1. Zmiana liczby PPE, grup taryfowych, mocy umownej, profilu poboru lub rzeczywistego wolumenu w granicach odchylenia ±20% od wolumenu bazowego nie wpływa na tę cenę. Maksymalny wolumen objęty Umową wynosi 1 536,174 MWh.</w:t>
      </w:r>
    </w:p>
    <w:p w14:paraId="2EC7CAFB" w14:textId="77777777" w:rsidR="00D9620B" w:rsidRDefault="00E75060">
      <w:pPr>
        <w:spacing w:after="40"/>
        <w:ind w:hanging="312"/>
      </w:pPr>
      <w:r>
        <w:rPr>
          <w:rFonts w:eastAsia="Arial"/>
          <w:b/>
        </w:rPr>
        <w:t xml:space="preserve">4. </w:t>
      </w:r>
      <w:r>
        <w:rPr>
          <w:rFonts w:eastAsia="Arial"/>
        </w:rPr>
        <w:t xml:space="preserve">Dopuszczalne są zmiany danych adresowych, osób kontaktowych, numerów PPE, mocy umownej, grup taryfowych w zakresie przewidzianym dokumentacją, sposobu grupowania faktur, danych </w:t>
      </w:r>
      <w:r>
        <w:rPr>
          <w:rFonts w:eastAsia="Arial"/>
        </w:rPr>
        <w:lastRenderedPageBreak/>
        <w:t>rachunków bankowych oraz inne zmiany techniczne lub organizacyjne, o ile nie naruszają zasad cenowych Umowy.</w:t>
      </w:r>
    </w:p>
    <w:p w14:paraId="41C2D820" w14:textId="77777777" w:rsidR="00D9620B" w:rsidRDefault="00E75060">
      <w:pPr>
        <w:spacing w:after="40"/>
        <w:ind w:hanging="312"/>
      </w:pPr>
      <w:r>
        <w:rPr>
          <w:rFonts w:eastAsia="Arial"/>
          <w:b/>
        </w:rPr>
        <w:t xml:space="preserve">5. </w:t>
      </w:r>
      <w:r>
        <w:rPr>
          <w:rFonts w:eastAsia="Arial"/>
        </w:rPr>
        <w:t>Zmiana stawki VAT jest rozliczana zgodnie z § 5 ust. 4 i nie wymaga zmiany ceny jednostkowej netto.</w:t>
      </w:r>
    </w:p>
    <w:p w14:paraId="6AEA0E67" w14:textId="77777777" w:rsidR="00D9620B" w:rsidRDefault="00E75060">
      <w:pPr>
        <w:spacing w:after="40"/>
        <w:ind w:hanging="312"/>
      </w:pPr>
      <w:r>
        <w:rPr>
          <w:rFonts w:eastAsia="Arial"/>
          <w:b/>
        </w:rPr>
        <w:t xml:space="preserve">6. </w:t>
      </w:r>
      <w:r>
        <w:rPr>
          <w:rFonts w:eastAsia="Arial"/>
        </w:rPr>
        <w:t>Wszelkie inne zmiany Umowy wymagają zgodnej woli Stron i formy pisemnej albo elektronicznej opatrzonej kwalifikowanymi podpisami elektronicznymi, pod rygorem nieważności, chyba że przepisy bezwzględnie obowiązujące stanowią inaczej.</w:t>
      </w:r>
    </w:p>
    <w:p w14:paraId="303769E6" w14:textId="77777777" w:rsidR="00D9620B" w:rsidRDefault="00E75060">
      <w:pPr>
        <w:pStyle w:val="Nagwek1"/>
      </w:pPr>
      <w:r>
        <w:rPr>
          <w:rFonts w:eastAsia="Arial"/>
        </w:rPr>
        <w:t>§ 11. Siła wyższa</w:t>
      </w:r>
    </w:p>
    <w:p w14:paraId="58E6665C" w14:textId="77777777" w:rsidR="00D9620B" w:rsidRDefault="00E75060">
      <w:pPr>
        <w:spacing w:after="40"/>
        <w:ind w:hanging="312"/>
      </w:pPr>
      <w:r>
        <w:rPr>
          <w:rFonts w:eastAsia="Arial"/>
          <w:b/>
        </w:rPr>
        <w:t xml:space="preserve">1. </w:t>
      </w:r>
      <w:r>
        <w:rPr>
          <w:rFonts w:eastAsia="Arial"/>
        </w:rPr>
        <w:t>Strona nie ponosi odpowiedzialności za niewykonanie obowiązku w zakresie, w jakim jest ono bezpośrednim skutkiem siły wyższej, pod warunkiem niezwłocznego poinformowania drugiej Strony i podjęcia rozsądnych działań ograniczających skutki zdarzenia.</w:t>
      </w:r>
    </w:p>
    <w:p w14:paraId="19F1AE0B" w14:textId="77777777" w:rsidR="00D9620B" w:rsidRDefault="00E75060">
      <w:pPr>
        <w:spacing w:after="40"/>
        <w:ind w:hanging="312"/>
      </w:pPr>
      <w:r>
        <w:rPr>
          <w:rFonts w:eastAsia="Arial"/>
          <w:b/>
        </w:rPr>
        <w:t xml:space="preserve">2. </w:t>
      </w:r>
      <w:r>
        <w:rPr>
          <w:rFonts w:eastAsia="Arial"/>
        </w:rPr>
        <w:t>Siła wyższa nie stanowi podstawy do zmiany stałej ceny jednostkowej netto sprzedaży energii elektrycznej.</w:t>
      </w:r>
    </w:p>
    <w:p w14:paraId="67AE8E92" w14:textId="77777777" w:rsidR="00D9620B" w:rsidRDefault="00E75060">
      <w:pPr>
        <w:pStyle w:val="Nagwek1"/>
      </w:pPr>
      <w:r>
        <w:rPr>
          <w:rFonts w:eastAsia="Arial"/>
        </w:rPr>
        <w:t>§ 12. Dane osobowe i poufność</w:t>
      </w:r>
    </w:p>
    <w:p w14:paraId="2EA0682F" w14:textId="77777777" w:rsidR="00D9620B" w:rsidRDefault="00E75060">
      <w:pPr>
        <w:spacing w:after="40"/>
        <w:ind w:hanging="312"/>
      </w:pPr>
      <w:r>
        <w:rPr>
          <w:rFonts w:eastAsia="Arial"/>
          <w:b/>
        </w:rPr>
        <w:t xml:space="preserve">1. </w:t>
      </w:r>
      <w:r>
        <w:rPr>
          <w:rFonts w:eastAsia="Arial"/>
        </w:rPr>
        <w:t>Strony przetwarzają dane osobowe zgodnie z RODO i właściwymi przepisami krajowymi, każda jako niezależny administrator w zakresie swoich obowiązków.</w:t>
      </w:r>
    </w:p>
    <w:p w14:paraId="5AC99130" w14:textId="77777777" w:rsidR="00D9620B" w:rsidRDefault="00E75060">
      <w:pPr>
        <w:spacing w:after="40"/>
        <w:ind w:hanging="312"/>
      </w:pPr>
      <w:r>
        <w:rPr>
          <w:rFonts w:eastAsia="Arial"/>
          <w:b/>
        </w:rPr>
        <w:t xml:space="preserve">2. </w:t>
      </w:r>
      <w:r>
        <w:rPr>
          <w:rFonts w:eastAsia="Arial"/>
        </w:rPr>
        <w:t>Informacje stanowiące tajemnicę przedsiębiorstwa Strony chronią z należytą starannością, z wyjątkiem informacji, których ujawnienie wynika z przepisów prawa albo obowiązków korporacyjnych Zamawiającego.</w:t>
      </w:r>
    </w:p>
    <w:p w14:paraId="01D3CE89" w14:textId="77777777" w:rsidR="00D9620B" w:rsidRDefault="00E75060">
      <w:pPr>
        <w:pStyle w:val="Nagwek1"/>
      </w:pPr>
      <w:r>
        <w:rPr>
          <w:rFonts w:eastAsia="Arial"/>
        </w:rPr>
        <w:t>§ 13. Postanowienia końcowe</w:t>
      </w:r>
    </w:p>
    <w:p w14:paraId="35A7070E" w14:textId="77777777" w:rsidR="00D9620B" w:rsidRDefault="00E75060">
      <w:pPr>
        <w:spacing w:after="40"/>
        <w:ind w:hanging="312"/>
      </w:pPr>
      <w:r>
        <w:rPr>
          <w:rFonts w:eastAsia="Arial"/>
          <w:b/>
        </w:rPr>
        <w:t xml:space="preserve">1. </w:t>
      </w:r>
      <w:r>
        <w:rPr>
          <w:rFonts w:eastAsia="Arial"/>
        </w:rPr>
        <w:t>Cesja wierzytelności Wykonawcy wynikających z Umowy wymaga uprzedniej pisemnej zgody Zamawiającego.</w:t>
      </w:r>
    </w:p>
    <w:p w14:paraId="63C68126" w14:textId="77777777" w:rsidR="00D9620B" w:rsidRDefault="00E75060">
      <w:pPr>
        <w:spacing w:after="40"/>
        <w:ind w:hanging="312"/>
      </w:pPr>
      <w:r>
        <w:rPr>
          <w:rFonts w:eastAsia="Arial"/>
          <w:b/>
        </w:rPr>
        <w:t xml:space="preserve">2. </w:t>
      </w:r>
      <w:r>
        <w:rPr>
          <w:rFonts w:eastAsia="Arial"/>
        </w:rPr>
        <w:t>Spory nierozstrzygnięte polubownie będą rozpoznawane przez sąd powszechny właściwy miejscowo dla siedziby Zamawiającego, o ile bezwzględnie obowiązujące przepisy nie stanowią inaczej.</w:t>
      </w:r>
    </w:p>
    <w:p w14:paraId="51557036" w14:textId="77777777" w:rsidR="00D9620B" w:rsidRDefault="00E75060">
      <w:pPr>
        <w:spacing w:after="40"/>
        <w:ind w:hanging="312"/>
      </w:pPr>
      <w:r>
        <w:rPr>
          <w:rFonts w:eastAsia="Arial"/>
          <w:b/>
        </w:rPr>
        <w:t xml:space="preserve">3. </w:t>
      </w:r>
      <w:r>
        <w:rPr>
          <w:rFonts w:eastAsia="Arial"/>
        </w:rPr>
        <w:t>Integralną częścią Umowy są: (1) wykaz PPE, (2) WPZ wraz z załącznikami i wyjaśnieniami, (3) oferta Wykonawcy, (4) pełnomocnictwo do zmiany sprzedawcy – jeżeli zostało udzielone.</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CellMar>
          <w:left w:w="10" w:type="dxa"/>
          <w:right w:w="10" w:type="dxa"/>
        </w:tblCellMar>
        <w:tblLook w:val="04A0" w:firstRow="1" w:lastRow="0" w:firstColumn="1" w:lastColumn="0" w:noHBand="0" w:noVBand="1"/>
      </w:tblPr>
      <w:tblGrid>
        <w:gridCol w:w="4365"/>
        <w:gridCol w:w="4365"/>
      </w:tblGrid>
      <w:tr w:rsidR="00D9620B" w14:paraId="6FB3D34D" w14:textId="77777777">
        <w:tblPrEx>
          <w:tblCellMar>
            <w:top w:w="0" w:type="dxa"/>
            <w:bottom w:w="0" w:type="dxa"/>
          </w:tblCellMar>
        </w:tblPrEx>
        <w:trPr>
          <w:tblHeader/>
          <w:jc w:val="center"/>
        </w:trPr>
        <w:tc>
          <w:tcPr>
            <w:tcW w:w="4365" w:type="dxa"/>
            <w:shd w:val="clear" w:color="auto" w:fill="E7E6E6"/>
            <w:tcMar>
              <w:top w:w="80" w:type="dxa"/>
              <w:left w:w="80" w:type="dxa"/>
              <w:bottom w:w="80" w:type="dxa"/>
              <w:right w:w="80" w:type="dxa"/>
            </w:tcMar>
            <w:vAlign w:val="center"/>
          </w:tcPr>
          <w:p w14:paraId="55BEA68D" w14:textId="77777777" w:rsidR="00D9620B" w:rsidRDefault="00E75060">
            <w:pPr>
              <w:spacing w:after="0" w:line="240" w:lineRule="auto"/>
              <w:jc w:val="center"/>
            </w:pPr>
            <w:r>
              <w:rPr>
                <w:rFonts w:eastAsia="Arial"/>
                <w:b/>
                <w:sz w:val="18"/>
              </w:rPr>
              <w:t>Zamawiający</w:t>
            </w:r>
          </w:p>
        </w:tc>
        <w:tc>
          <w:tcPr>
            <w:tcW w:w="4365" w:type="dxa"/>
            <w:shd w:val="clear" w:color="auto" w:fill="E7E6E6"/>
            <w:tcMar>
              <w:top w:w="80" w:type="dxa"/>
              <w:left w:w="80" w:type="dxa"/>
              <w:bottom w:w="80" w:type="dxa"/>
              <w:right w:w="80" w:type="dxa"/>
            </w:tcMar>
            <w:vAlign w:val="center"/>
          </w:tcPr>
          <w:p w14:paraId="0E084E63" w14:textId="77777777" w:rsidR="00D9620B" w:rsidRDefault="00E75060">
            <w:pPr>
              <w:spacing w:after="0" w:line="240" w:lineRule="auto"/>
              <w:jc w:val="center"/>
            </w:pPr>
            <w:r>
              <w:rPr>
                <w:rFonts w:eastAsia="Arial"/>
                <w:b/>
                <w:sz w:val="18"/>
              </w:rPr>
              <w:t>Wykonawca</w:t>
            </w:r>
          </w:p>
        </w:tc>
      </w:tr>
      <w:tr w:rsidR="00D9620B" w14:paraId="6B191FF5" w14:textId="77777777">
        <w:tblPrEx>
          <w:tblCellMar>
            <w:top w:w="0" w:type="dxa"/>
            <w:bottom w:w="0" w:type="dxa"/>
          </w:tblCellMar>
        </w:tblPrEx>
        <w:trPr>
          <w:jc w:val="center"/>
        </w:trPr>
        <w:tc>
          <w:tcPr>
            <w:tcW w:w="4365" w:type="dxa"/>
            <w:tcMar>
              <w:top w:w="80" w:type="dxa"/>
              <w:left w:w="80" w:type="dxa"/>
              <w:bottom w:w="80" w:type="dxa"/>
              <w:right w:w="80" w:type="dxa"/>
            </w:tcMar>
            <w:vAlign w:val="center"/>
          </w:tcPr>
          <w:p w14:paraId="60BE18AC" w14:textId="77777777" w:rsidR="00D9620B" w:rsidRDefault="00D9620B">
            <w:pPr>
              <w:spacing w:after="0" w:line="240" w:lineRule="auto"/>
              <w:jc w:val="center"/>
            </w:pPr>
          </w:p>
        </w:tc>
        <w:tc>
          <w:tcPr>
            <w:tcW w:w="4365" w:type="dxa"/>
            <w:tcMar>
              <w:top w:w="80" w:type="dxa"/>
              <w:left w:w="80" w:type="dxa"/>
              <w:bottom w:w="80" w:type="dxa"/>
              <w:right w:w="80" w:type="dxa"/>
            </w:tcMar>
            <w:vAlign w:val="center"/>
          </w:tcPr>
          <w:p w14:paraId="77C5674E" w14:textId="77777777" w:rsidR="00D9620B" w:rsidRDefault="00D9620B">
            <w:pPr>
              <w:spacing w:after="0" w:line="240" w:lineRule="auto"/>
              <w:jc w:val="center"/>
            </w:pPr>
          </w:p>
        </w:tc>
      </w:tr>
      <w:tr w:rsidR="00D9620B" w14:paraId="5512C4E9" w14:textId="77777777">
        <w:tblPrEx>
          <w:tblCellMar>
            <w:top w:w="0" w:type="dxa"/>
            <w:bottom w:w="0" w:type="dxa"/>
          </w:tblCellMar>
        </w:tblPrEx>
        <w:trPr>
          <w:jc w:val="center"/>
        </w:trPr>
        <w:tc>
          <w:tcPr>
            <w:tcW w:w="4365" w:type="dxa"/>
            <w:tcMar>
              <w:top w:w="80" w:type="dxa"/>
              <w:left w:w="80" w:type="dxa"/>
              <w:bottom w:w="80" w:type="dxa"/>
              <w:right w:w="80" w:type="dxa"/>
            </w:tcMar>
            <w:vAlign w:val="center"/>
          </w:tcPr>
          <w:p w14:paraId="3DEBE753" w14:textId="77777777" w:rsidR="00D9620B" w:rsidRDefault="00E75060">
            <w:pPr>
              <w:spacing w:after="0" w:line="240" w:lineRule="auto"/>
              <w:jc w:val="center"/>
            </w:pPr>
            <w:r>
              <w:rPr>
                <w:rFonts w:eastAsia="Arial"/>
                <w:sz w:val="18"/>
              </w:rPr>
              <w:t>........................................................</w:t>
            </w:r>
          </w:p>
        </w:tc>
        <w:tc>
          <w:tcPr>
            <w:tcW w:w="4365" w:type="dxa"/>
            <w:tcMar>
              <w:top w:w="80" w:type="dxa"/>
              <w:left w:w="80" w:type="dxa"/>
              <w:bottom w:w="80" w:type="dxa"/>
              <w:right w:w="80" w:type="dxa"/>
            </w:tcMar>
            <w:vAlign w:val="center"/>
          </w:tcPr>
          <w:p w14:paraId="1E163598" w14:textId="77777777" w:rsidR="00D9620B" w:rsidRDefault="00E75060">
            <w:pPr>
              <w:spacing w:after="0" w:line="240" w:lineRule="auto"/>
              <w:jc w:val="center"/>
            </w:pPr>
            <w:r>
              <w:rPr>
                <w:rFonts w:eastAsia="Arial"/>
                <w:sz w:val="18"/>
              </w:rPr>
              <w:t>........................................................</w:t>
            </w:r>
          </w:p>
        </w:tc>
      </w:tr>
    </w:tbl>
    <w:p w14:paraId="4C18FD6E" w14:textId="77777777" w:rsidR="00D9620B" w:rsidRDefault="00D9620B">
      <w:pPr>
        <w:spacing w:after="20"/>
      </w:pPr>
    </w:p>
    <w:sectPr w:rsidR="00D9620B">
      <w:headerReference w:type="default" r:id="rId7"/>
      <w:footerReference w:type="default" r:id="rId8"/>
      <w:pgSz w:w="12240" w:h="15840"/>
      <w:pgMar w:top="1417" w:right="1417" w:bottom="1417" w:left="1417" w:header="708"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395DD" w14:textId="77777777" w:rsidR="00E75060" w:rsidRDefault="00E75060">
      <w:pPr>
        <w:spacing w:after="0" w:line="240" w:lineRule="auto"/>
      </w:pPr>
      <w:r>
        <w:separator/>
      </w:r>
    </w:p>
  </w:endnote>
  <w:endnote w:type="continuationSeparator" w:id="0">
    <w:p w14:paraId="614C6064" w14:textId="77777777" w:rsidR="00E75060" w:rsidRDefault="00E75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13AD4" w14:textId="77777777" w:rsidR="00D9620B" w:rsidRDefault="00E75060">
    <w:pPr>
      <w:pStyle w:val="Stopka"/>
      <w:jc w:val="right"/>
    </w:pPr>
    <w:r>
      <w:rPr>
        <w:rFonts w:eastAsia="Arial"/>
        <w:color w:val="6E6E6E"/>
        <w:sz w:val="16"/>
      </w:rPr>
      <w:t xml:space="preserve">Strona </w:t>
    </w:r>
    <w:r>
      <w:rPr>
        <w:rFonts w:eastAsia="Arial"/>
        <w:color w:val="6E6E6E"/>
        <w:sz w:val="16"/>
      </w:rPr>
      <w:fldChar w:fldCharType="begin"/>
    </w:r>
    <w:r>
      <w:rPr>
        <w:rFonts w:eastAsia="Arial"/>
        <w:color w:val="6E6E6E"/>
        <w:sz w:val="16"/>
      </w:rPr>
      <w:instrText>PAGE</w:instrText>
    </w:r>
    <w:r>
      <w:rPr>
        <w:rFonts w:eastAsia="Arial"/>
        <w:color w:val="6E6E6E"/>
        <w:sz w:val="16"/>
      </w:rPr>
      <w:fldChar w:fldCharType="separate"/>
    </w:r>
    <w:r>
      <w:rPr>
        <w:rFonts w:eastAsia="Arial"/>
        <w:noProof/>
        <w:color w:val="6E6E6E"/>
        <w:sz w:val="16"/>
      </w:rPr>
      <w:t>1</w:t>
    </w:r>
    <w:r>
      <w:rPr>
        <w:rFonts w:eastAsia="Arial"/>
        <w:color w:val="6E6E6E"/>
        <w:sz w:val="16"/>
      </w:rPr>
      <w:fldChar w:fldCharType="end"/>
    </w:r>
    <w:r>
      <w:rPr>
        <w:rFonts w:eastAsia="Arial"/>
        <w:color w:val="6E6E6E"/>
        <w:sz w:val="16"/>
      </w:rPr>
      <w:t xml:space="preserve"> z </w:t>
    </w:r>
    <w:r>
      <w:rPr>
        <w:rFonts w:eastAsia="Arial"/>
        <w:color w:val="6E6E6E"/>
        <w:sz w:val="16"/>
      </w:rPr>
      <w:fldChar w:fldCharType="begin"/>
    </w:r>
    <w:r>
      <w:rPr>
        <w:rFonts w:eastAsia="Arial"/>
        <w:color w:val="6E6E6E"/>
        <w:sz w:val="16"/>
      </w:rPr>
      <w:instrText>NUMPAGES</w:instrText>
    </w:r>
    <w:r>
      <w:rPr>
        <w:rFonts w:eastAsia="Arial"/>
        <w:color w:val="6E6E6E"/>
        <w:sz w:val="16"/>
      </w:rPr>
      <w:fldChar w:fldCharType="separate"/>
    </w:r>
    <w:r>
      <w:rPr>
        <w:rFonts w:eastAsia="Arial"/>
        <w:noProof/>
        <w:color w:val="6E6E6E"/>
        <w:sz w:val="16"/>
      </w:rPr>
      <w:t>2</w:t>
    </w:r>
    <w:r>
      <w:rPr>
        <w:rFonts w:eastAsia="Arial"/>
        <w:color w:val="6E6E6E"/>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B7627" w14:textId="77777777" w:rsidR="00E75060" w:rsidRDefault="00E75060">
      <w:pPr>
        <w:spacing w:after="0" w:line="240" w:lineRule="auto"/>
      </w:pPr>
      <w:r>
        <w:separator/>
      </w:r>
    </w:p>
  </w:footnote>
  <w:footnote w:type="continuationSeparator" w:id="0">
    <w:p w14:paraId="0B39E6D5" w14:textId="77777777" w:rsidR="00E75060" w:rsidRDefault="00E75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D9321" w14:textId="4FD0A9B8" w:rsidR="00D9620B" w:rsidRDefault="00E75060">
    <w:pPr>
      <w:pStyle w:val="Nagwek"/>
      <w:spacing w:after="160"/>
    </w:pPr>
    <w:bookmarkStart w:id="0" w:name="_Hlk188862157"/>
    <w:bookmarkStart w:id="1" w:name="_Hlk188862156"/>
    <w:bookmarkStart w:id="2" w:name="_Hlk188862143"/>
    <w:bookmarkStart w:id="3" w:name="_Hlk188862142"/>
    <w:bookmarkStart w:id="4" w:name="_Hlk188862131"/>
    <w:bookmarkStart w:id="5" w:name="_Hlk188862130"/>
    <w:bookmarkStart w:id="6" w:name="_Hlk188862105"/>
    <w:bookmarkStart w:id="7" w:name="_Hlk188862104"/>
    <w:r>
      <w:rPr>
        <w:rFonts w:cs="Arial"/>
        <w:i/>
        <w:noProof/>
        <w:kern w:val="0"/>
        <w:sz w:val="18"/>
        <w:szCs w:val="18"/>
        <w:lang w:eastAsia="pl-PL"/>
      </w:rPr>
      <w:drawing>
        <wp:anchor distT="0" distB="0" distL="114935" distR="114935" simplePos="0" relativeHeight="251662336" behindDoc="0" locked="0" layoutInCell="0" allowOverlap="1" wp14:anchorId="6729B605" wp14:editId="4638C332">
          <wp:simplePos x="0" y="0"/>
          <wp:positionH relativeFrom="margin">
            <wp:posOffset>-212725</wp:posOffset>
          </wp:positionH>
          <wp:positionV relativeFrom="margin">
            <wp:posOffset>-737870</wp:posOffset>
          </wp:positionV>
          <wp:extent cx="6480810" cy="236220"/>
          <wp:effectExtent l="0" t="0" r="0" b="0"/>
          <wp:wrapSquare wrapText="bothSides"/>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5"/>
                  <pic:cNvPicPr>
                    <a:picLocks noChangeAspect="1" noChangeArrowheads="1"/>
                  </pic:cNvPicPr>
                </pic:nvPicPr>
                <pic:blipFill>
                  <a:blip r:embed="rId1"/>
                  <a:srcRect l="-5" t="-26" r="-796" b="82068"/>
                  <a:stretch>
                    <a:fillRect/>
                  </a:stretch>
                </pic:blipFill>
                <pic:spPr bwMode="auto">
                  <a:xfrm>
                    <a:off x="0" y="0"/>
                    <a:ext cx="6480810" cy="236220"/>
                  </a:xfrm>
                  <a:prstGeom prst="rect">
                    <a:avLst/>
                  </a:prstGeom>
                  <a:noFill/>
                </pic:spPr>
              </pic:pic>
            </a:graphicData>
          </a:graphic>
        </wp:anchor>
      </w:drawing>
    </w:r>
    <w:bookmarkEnd w:id="0"/>
    <w:bookmarkEnd w:id="1"/>
    <w:bookmarkEnd w:id="2"/>
    <w:bookmarkEnd w:id="3"/>
    <w:bookmarkEnd w:id="4"/>
    <w:bookmarkEnd w:id="5"/>
    <w:bookmarkEnd w:id="6"/>
    <w:bookmarkEnd w:id="7"/>
    <w:r w:rsidRPr="00E27C6A">
      <w:rPr>
        <w:rFonts w:cs="Arial"/>
        <w:i/>
        <w:sz w:val="18"/>
        <w:szCs w:val="18"/>
      </w:rPr>
      <w:t xml:space="preserve">Numer sprawy: </w:t>
    </w:r>
    <w:r>
      <w:rPr>
        <w:rFonts w:cs="Arial"/>
        <w:i/>
        <w:sz w:val="18"/>
        <w:szCs w:val="18"/>
      </w:rPr>
      <w:t>TM/09/ZWiK/2026</w:t>
    </w:r>
    <w:r w:rsidRPr="00E27C6A">
      <w:rPr>
        <w:rFonts w:cs="Arial"/>
        <w:i/>
        <w:sz w:val="18"/>
        <w:szCs w:val="18"/>
      </w:rPr>
      <w:t xml:space="preserve"> z dnia</w:t>
    </w:r>
    <w:r>
      <w:rPr>
        <w:rFonts w:cs="Arial"/>
        <w:i/>
        <w:sz w:val="18"/>
        <w:szCs w:val="18"/>
      </w:rPr>
      <w:t xml:space="preserve"> 15.10.2026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4223"/>
    <w:multiLevelType w:val="multilevel"/>
    <w:tmpl w:val="DB747864"/>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647462"/>
    <w:multiLevelType w:val="multilevel"/>
    <w:tmpl w:val="5CB6491E"/>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29790C"/>
    <w:multiLevelType w:val="multilevel"/>
    <w:tmpl w:val="3F08642C"/>
    <w:lvl w:ilvl="0">
      <w:start w:val="1"/>
      <w:numFmt w:val="lowerLetter"/>
      <w:lvlText w:val="%1)"/>
      <w:lvlJc w:val="left"/>
      <w:pPr>
        <w:tabs>
          <w:tab w:val="num" w:pos="0"/>
        </w:tabs>
        <w:ind w:left="106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EE1AF6"/>
    <w:multiLevelType w:val="multilevel"/>
    <w:tmpl w:val="E99EDA7A"/>
    <w:lvl w:ilvl="0">
      <w:start w:val="1"/>
      <w:numFmt w:val="decimal"/>
      <w:lvlText w:val="%1."/>
      <w:lvlJc w:val="left"/>
      <w:pPr>
        <w:tabs>
          <w:tab w:val="num" w:pos="0"/>
        </w:tabs>
        <w:ind w:left="360" w:hanging="360"/>
      </w:pPr>
      <w:rPr>
        <w:sz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764A91"/>
    <w:multiLevelType w:val="multilevel"/>
    <w:tmpl w:val="D2FE1652"/>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93964D7"/>
    <w:multiLevelType w:val="multilevel"/>
    <w:tmpl w:val="BB2871A2"/>
    <w:lvl w:ilvl="0">
      <w:start w:val="1"/>
      <w:numFmt w:val="lowerLetter"/>
      <w:lvlText w:val="%1)"/>
      <w:lvlJc w:val="left"/>
      <w:pPr>
        <w:tabs>
          <w:tab w:val="num" w:pos="0"/>
        </w:tabs>
        <w:ind w:left="106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BCD1D79"/>
    <w:multiLevelType w:val="multilevel"/>
    <w:tmpl w:val="DAFC8352"/>
    <w:lvl w:ilvl="0">
      <w:start w:val="1"/>
      <w:numFmt w:val="lowerLetter"/>
      <w:lvlText w:val="%1)"/>
      <w:lvlJc w:val="left"/>
      <w:pPr>
        <w:tabs>
          <w:tab w:val="num" w:pos="0"/>
        </w:tabs>
        <w:ind w:left="114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0D6352C"/>
    <w:multiLevelType w:val="multilevel"/>
    <w:tmpl w:val="262E1162"/>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57A5609"/>
    <w:multiLevelType w:val="multilevel"/>
    <w:tmpl w:val="AB5EC8A2"/>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D603EED"/>
    <w:multiLevelType w:val="multilevel"/>
    <w:tmpl w:val="959646E2"/>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47641BB6"/>
    <w:multiLevelType w:val="multilevel"/>
    <w:tmpl w:val="A992B822"/>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9EB79A9"/>
    <w:multiLevelType w:val="multilevel"/>
    <w:tmpl w:val="45728618"/>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4550FF1"/>
    <w:multiLevelType w:val="multilevel"/>
    <w:tmpl w:val="71901246"/>
    <w:lvl w:ilvl="0">
      <w:start w:val="1"/>
      <w:numFmt w:val="lowerLetter"/>
      <w:lvlText w:val="%1."/>
      <w:lvlJc w:val="left"/>
      <w:pPr>
        <w:tabs>
          <w:tab w:val="num" w:pos="0"/>
        </w:tabs>
        <w:ind w:left="72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7897BC4"/>
    <w:multiLevelType w:val="multilevel"/>
    <w:tmpl w:val="C5E44CB8"/>
    <w:lvl w:ilvl="0">
      <w:start w:val="1"/>
      <w:numFmt w:val="lowerLetter"/>
      <w:lvlText w:val="%1)"/>
      <w:lvlJc w:val="left"/>
      <w:pPr>
        <w:tabs>
          <w:tab w:val="num" w:pos="0"/>
        </w:tabs>
        <w:ind w:left="9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B3C4B3E"/>
    <w:multiLevelType w:val="multilevel"/>
    <w:tmpl w:val="9C62048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CFA2B44"/>
    <w:multiLevelType w:val="multilevel"/>
    <w:tmpl w:val="F5BA6132"/>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DF00206"/>
    <w:multiLevelType w:val="multilevel"/>
    <w:tmpl w:val="B05E77E8"/>
    <w:lvl w:ilvl="0">
      <w:start w:val="2"/>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EAA61B5"/>
    <w:multiLevelType w:val="multilevel"/>
    <w:tmpl w:val="4104C83C"/>
    <w:lvl w:ilvl="0">
      <w:start w:val="1"/>
      <w:numFmt w:val="lowerLetter"/>
      <w:lvlText w:val="%1."/>
      <w:lvlJc w:val="left"/>
      <w:pPr>
        <w:tabs>
          <w:tab w:val="num" w:pos="0"/>
        </w:tabs>
        <w:ind w:left="72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1856894"/>
    <w:multiLevelType w:val="multilevel"/>
    <w:tmpl w:val="74EAB5B4"/>
    <w:lvl w:ilvl="0">
      <w:start w:val="1"/>
      <w:numFmt w:val="decimal"/>
      <w:lvlText w:val="%1."/>
      <w:lvlJc w:val="left"/>
      <w:pPr>
        <w:tabs>
          <w:tab w:val="num" w:pos="0"/>
        </w:tabs>
        <w:ind w:left="59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39460FA"/>
    <w:multiLevelType w:val="multilevel"/>
    <w:tmpl w:val="467C891C"/>
    <w:lvl w:ilvl="0">
      <w:start w:val="1"/>
      <w:numFmt w:val="lowerLetter"/>
      <w:lvlText w:val="%1)"/>
      <w:lvlJc w:val="left"/>
      <w:pPr>
        <w:tabs>
          <w:tab w:val="num" w:pos="0"/>
        </w:tabs>
        <w:ind w:left="106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ECE2883"/>
    <w:multiLevelType w:val="multilevel"/>
    <w:tmpl w:val="C8D4E894"/>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6393166"/>
    <w:multiLevelType w:val="multilevel"/>
    <w:tmpl w:val="B672A7F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25104387">
    <w:abstractNumId w:val="9"/>
  </w:num>
  <w:num w:numId="2" w16cid:durableId="214440042">
    <w:abstractNumId w:val="7"/>
  </w:num>
  <w:num w:numId="3" w16cid:durableId="1128864693">
    <w:abstractNumId w:val="1"/>
  </w:num>
  <w:num w:numId="4" w16cid:durableId="184176620">
    <w:abstractNumId w:val="18"/>
  </w:num>
  <w:num w:numId="5" w16cid:durableId="99955833">
    <w:abstractNumId w:val="3"/>
  </w:num>
  <w:num w:numId="6" w16cid:durableId="566958887">
    <w:abstractNumId w:val="6"/>
  </w:num>
  <w:num w:numId="7" w16cid:durableId="2063945578">
    <w:abstractNumId w:val="16"/>
  </w:num>
  <w:num w:numId="8" w16cid:durableId="639652423">
    <w:abstractNumId w:val="5"/>
  </w:num>
  <w:num w:numId="9" w16cid:durableId="92824637">
    <w:abstractNumId w:val="0"/>
  </w:num>
  <w:num w:numId="10" w16cid:durableId="1831797610">
    <w:abstractNumId w:val="4"/>
  </w:num>
  <w:num w:numId="11" w16cid:durableId="1454716435">
    <w:abstractNumId w:val="13"/>
  </w:num>
  <w:num w:numId="12" w16cid:durableId="2050908209">
    <w:abstractNumId w:val="2"/>
  </w:num>
  <w:num w:numId="13" w16cid:durableId="782696835">
    <w:abstractNumId w:val="14"/>
  </w:num>
  <w:num w:numId="14" w16cid:durableId="2039507871">
    <w:abstractNumId w:val="12"/>
  </w:num>
  <w:num w:numId="15" w16cid:durableId="1414547859">
    <w:abstractNumId w:val="19"/>
  </w:num>
  <w:num w:numId="16" w16cid:durableId="126362267">
    <w:abstractNumId w:val="15"/>
  </w:num>
  <w:num w:numId="17" w16cid:durableId="435564185">
    <w:abstractNumId w:val="17"/>
  </w:num>
  <w:num w:numId="18" w16cid:durableId="1345325540">
    <w:abstractNumId w:val="11"/>
  </w:num>
  <w:num w:numId="19" w16cid:durableId="164365342">
    <w:abstractNumId w:val="10"/>
  </w:num>
  <w:num w:numId="20" w16cid:durableId="1516460856">
    <w:abstractNumId w:val="8"/>
  </w:num>
  <w:num w:numId="21" w16cid:durableId="911740163">
    <w:abstractNumId w:val="20"/>
  </w:num>
  <w:num w:numId="22" w16cid:durableId="12254853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1"/>
    <w:compatSetting w:name="useWord2013TrackBottomHyphenation" w:uri="http://schemas.microsoft.com/office/word" w:val="1"/>
  </w:compat>
  <w:rsids>
    <w:rsidRoot w:val="00D9620B"/>
    <w:rsid w:val="005627B5"/>
    <w:rsid w:val="00D9620B"/>
    <w:rsid w:val="00E750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865D4"/>
  <w15:docId w15:val="{4E4DA3E5-D43D-4871-9C2F-BF3340F6F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60" w:line="259" w:lineRule="auto"/>
    </w:pPr>
    <w:rPr>
      <w:rFonts w:ascii="Arial" w:eastAsia="Calibri" w:hAnsi="Arial" w:cs="Times New Roman"/>
      <w:kern w:val="2"/>
      <w:sz w:val="21"/>
      <w:szCs w:val="22"/>
      <w:lang w:val="pl-PL" w:bidi="ar-SA"/>
    </w:rPr>
  </w:style>
  <w:style w:type="paragraph" w:styleId="Nagwek1">
    <w:name w:val="heading 1"/>
    <w:basedOn w:val="Normalny"/>
    <w:next w:val="Normalny"/>
    <w:uiPriority w:val="9"/>
    <w:qFormat/>
    <w:pPr>
      <w:keepNext/>
      <w:numPr>
        <w:numId w:val="1"/>
      </w:numPr>
      <w:spacing w:before="160" w:after="80"/>
      <w:outlineLvl w:val="0"/>
    </w:pPr>
    <w:rPr>
      <w:rFonts w:eastAsia="Times New Roman"/>
      <w:b/>
      <w:bCs/>
      <w:sz w:val="24"/>
      <w:szCs w:val="32"/>
    </w:rPr>
  </w:style>
  <w:style w:type="paragraph" w:styleId="Nagwek2">
    <w:name w:val="heading 2"/>
    <w:basedOn w:val="Normalny"/>
    <w:next w:val="Normalny"/>
    <w:uiPriority w:val="9"/>
    <w:semiHidden/>
    <w:unhideWhenUsed/>
    <w:qFormat/>
    <w:pPr>
      <w:keepNext/>
      <w:numPr>
        <w:ilvl w:val="1"/>
        <w:numId w:val="1"/>
      </w:numPr>
      <w:spacing w:before="160" w:after="80"/>
      <w:outlineLvl w:val="1"/>
    </w:pPr>
    <w:rPr>
      <w:rFonts w:eastAsia="Times New Roman"/>
      <w:b/>
      <w:bCs/>
      <w:i/>
      <w:iCs/>
      <w:sz w:val="22"/>
      <w:szCs w:val="28"/>
    </w:rPr>
  </w:style>
  <w:style w:type="paragraph" w:styleId="Nagwek3">
    <w:name w:val="heading 3"/>
    <w:basedOn w:val="Normalny"/>
    <w:next w:val="Normalny"/>
    <w:uiPriority w:val="9"/>
    <w:semiHidden/>
    <w:unhideWhenUsed/>
    <w:qFormat/>
    <w:pPr>
      <w:keepNext/>
      <w:numPr>
        <w:ilvl w:val="2"/>
        <w:numId w:val="1"/>
      </w:numPr>
      <w:spacing w:before="160" w:after="80" w:line="276" w:lineRule="auto"/>
      <w:ind w:left="357"/>
      <w:jc w:val="both"/>
      <w:outlineLvl w:val="2"/>
    </w:pPr>
    <w:rPr>
      <w:rFonts w:eastAsia="Times New Roman" w:cs="Calibri Light"/>
      <w:b/>
      <w:bCs/>
      <w:kern w:val="0"/>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1">
    <w:name w:val="WW8Num2z1"/>
    <w:qFormat/>
  </w:style>
  <w:style w:type="character" w:customStyle="1" w:styleId="WW8Num5z0">
    <w:name w:val="WW8Num5z0"/>
    <w:qFormat/>
  </w:style>
  <w:style w:type="character" w:customStyle="1" w:styleId="WW8Num10z0">
    <w:name w:val="WW8Num10z0"/>
    <w:qFormat/>
  </w:style>
  <w:style w:type="character" w:customStyle="1" w:styleId="WW8Num13z1">
    <w:name w:val="WW8Num13z1"/>
    <w:qFormat/>
  </w:style>
  <w:style w:type="character" w:customStyle="1" w:styleId="WW8Num14z0">
    <w:name w:val="WW8Num14z0"/>
    <w:qFormat/>
    <w:rPr>
      <w:sz w:val="20"/>
    </w:rPr>
  </w:style>
  <w:style w:type="character" w:customStyle="1" w:styleId="WW8Num19z0">
    <w:name w:val="WW8Num19z0"/>
    <w:qFormat/>
    <w:rPr>
      <w:rFonts w:ascii="Calibri" w:hAnsi="Calibri" w:cs="Calibri"/>
      <w:sz w:val="22"/>
      <w:szCs w:val="22"/>
    </w:rPr>
  </w:style>
  <w:style w:type="character" w:customStyle="1" w:styleId="WW8Num21z0">
    <w:name w:val="WW8Num21z0"/>
    <w:qFormat/>
  </w:style>
  <w:style w:type="character" w:customStyle="1" w:styleId="WW8Num22z0">
    <w:name w:val="WW8Num22z0"/>
    <w:qFormat/>
    <w:rPr>
      <w:rFonts w:ascii="Wingdings" w:hAnsi="Wingdings" w:cs="Wingdings"/>
      <w:color w:val="000000"/>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2z3">
    <w:name w:val="WW8Num22z3"/>
    <w:qFormat/>
    <w:rPr>
      <w:rFonts w:ascii="Symbol" w:hAnsi="Symbol" w:cs="Symbol"/>
    </w:rPr>
  </w:style>
  <w:style w:type="character" w:customStyle="1" w:styleId="WW8Num25z0">
    <w:name w:val="WW8Num25z0"/>
    <w:qFormat/>
  </w:style>
  <w:style w:type="character" w:customStyle="1" w:styleId="WW8Num26z0">
    <w:name w:val="WW8Num26z0"/>
    <w:qFormat/>
  </w:style>
  <w:style w:type="character" w:customStyle="1" w:styleId="WW8Num27z0">
    <w:name w:val="WW8Num27z0"/>
    <w:qFormat/>
    <w:rPr>
      <w:rFonts w:ascii="Symbol" w:eastAsia="Calibri" w:hAnsi="Symbol" w:cs="Calibri"/>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7z3">
    <w:name w:val="WW8Num27z3"/>
    <w:qFormat/>
    <w:rPr>
      <w:rFonts w:ascii="Symbol" w:hAnsi="Symbol" w:cs="Symbol"/>
    </w:rPr>
  </w:style>
  <w:style w:type="character" w:customStyle="1" w:styleId="WW8Num28z0">
    <w:name w:val="WW8Num28z0"/>
    <w:qFormat/>
  </w:style>
  <w:style w:type="character" w:customStyle="1" w:styleId="WW8Num30z1">
    <w:name w:val="WW8Num30z1"/>
    <w:qFormat/>
    <w:rPr>
      <w:rFonts w:ascii="Calibri" w:eastAsia="Calibri" w:hAnsi="Calibri" w:cs="Calibri"/>
    </w:rPr>
  </w:style>
  <w:style w:type="character" w:customStyle="1" w:styleId="WW8Num31z0">
    <w:name w:val="WW8Num31z0"/>
    <w:qFormat/>
  </w:style>
  <w:style w:type="character" w:customStyle="1" w:styleId="WW8Num32z0">
    <w:name w:val="WW8Num32z0"/>
    <w:qFormat/>
    <w:rPr>
      <w:rFonts w:ascii="Symbol" w:hAnsi="Symbol" w:cs="Symbol"/>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cs="Wingdings"/>
    </w:rPr>
  </w:style>
  <w:style w:type="character" w:customStyle="1" w:styleId="WW8Num34z0">
    <w:name w:val="WW8Num34z0"/>
    <w:qFormat/>
  </w:style>
  <w:style w:type="character" w:customStyle="1" w:styleId="WW8Num36z1">
    <w:name w:val="WW8Num36z1"/>
    <w:qFormat/>
  </w:style>
  <w:style w:type="character" w:customStyle="1" w:styleId="WW8Num37z0">
    <w:name w:val="WW8Num37z0"/>
    <w:qFormat/>
  </w:style>
  <w:style w:type="character" w:customStyle="1" w:styleId="WW8Num39z0">
    <w:name w:val="WW8Num39z0"/>
    <w:qFormat/>
  </w:style>
  <w:style w:type="character" w:customStyle="1" w:styleId="WW8Num40z0">
    <w:name w:val="WW8Num40z0"/>
    <w:qFormat/>
  </w:style>
  <w:style w:type="character" w:customStyle="1" w:styleId="WW8Num40z1">
    <w:name w:val="WW8Num40z1"/>
    <w:qFormat/>
    <w:rPr>
      <w:rFonts w:ascii="Courier New" w:hAnsi="Courier New" w:cs="Courier New"/>
    </w:rPr>
  </w:style>
  <w:style w:type="character" w:customStyle="1" w:styleId="WW8Num40z2">
    <w:name w:val="WW8Num40z2"/>
    <w:qFormat/>
    <w:rPr>
      <w:rFonts w:ascii="Wingdings" w:hAnsi="Wingdings" w:cs="Wingdings"/>
    </w:rPr>
  </w:style>
  <w:style w:type="character" w:customStyle="1" w:styleId="WW8Num40z3">
    <w:name w:val="WW8Num40z3"/>
    <w:qFormat/>
    <w:rPr>
      <w:rFonts w:ascii="Symbol" w:hAnsi="Symbol" w:cs="Symbol"/>
    </w:rPr>
  </w:style>
  <w:style w:type="character" w:customStyle="1" w:styleId="WW8Num43z0">
    <w:name w:val="WW8Num43z0"/>
    <w:qFormat/>
  </w:style>
  <w:style w:type="character" w:customStyle="1" w:styleId="WW8Num44z1">
    <w:name w:val="WW8Num44z1"/>
    <w:qFormat/>
  </w:style>
  <w:style w:type="character" w:customStyle="1" w:styleId="WW8Num48z0">
    <w:name w:val="WW8Num48z0"/>
    <w:qFormat/>
  </w:style>
  <w:style w:type="character" w:customStyle="1" w:styleId="WW8Num49z0">
    <w:name w:val="WW8Num49z0"/>
    <w:qFormat/>
    <w:rPr>
      <w:rFonts w:ascii="Calibri" w:eastAsia="Calibri" w:hAnsi="Calibri" w:cs="Calibri"/>
    </w:rPr>
  </w:style>
  <w:style w:type="character" w:customStyle="1" w:styleId="WW8Num53z0">
    <w:name w:val="WW8Num53z0"/>
    <w:qFormat/>
    <w:rPr>
      <w:b/>
    </w:rPr>
  </w:style>
  <w:style w:type="character" w:customStyle="1" w:styleId="WW8Num58z0">
    <w:name w:val="WW8Num58z0"/>
    <w:qFormat/>
  </w:style>
  <w:style w:type="character" w:customStyle="1" w:styleId="WW8Num59z0">
    <w:name w:val="WW8Num59z0"/>
    <w:qFormat/>
    <w:rPr>
      <w:rFonts w:ascii="Symbol" w:hAnsi="Symbol" w:cs="Symbol"/>
    </w:rPr>
  </w:style>
  <w:style w:type="character" w:customStyle="1" w:styleId="WW8Num59z1">
    <w:name w:val="WW8Num59z1"/>
    <w:qFormat/>
    <w:rPr>
      <w:rFonts w:ascii="Courier New" w:hAnsi="Courier New" w:cs="Courier New"/>
    </w:rPr>
  </w:style>
  <w:style w:type="character" w:customStyle="1" w:styleId="WW8Num59z2">
    <w:name w:val="WW8Num59z2"/>
    <w:qFormat/>
    <w:rPr>
      <w:rFonts w:ascii="Wingdings" w:hAnsi="Wingdings" w:cs="Wingdings"/>
    </w:rPr>
  </w:style>
  <w:style w:type="character" w:customStyle="1" w:styleId="WW8Num65z0">
    <w:name w:val="WW8Num65z0"/>
    <w:qFormat/>
    <w:rPr>
      <w:rFonts w:ascii="Calibri" w:eastAsia="Times New Roman" w:hAnsi="Calibri" w:cs="Calibri"/>
    </w:rPr>
  </w:style>
  <w:style w:type="character" w:customStyle="1" w:styleId="WW8Num72z0">
    <w:name w:val="WW8Num72z0"/>
    <w:qFormat/>
  </w:style>
  <w:style w:type="character" w:customStyle="1" w:styleId="NagwekZnak">
    <w:name w:val="Nagłówek Znak"/>
    <w:qFormat/>
    <w:rPr>
      <w:kern w:val="2"/>
      <w:sz w:val="22"/>
      <w:szCs w:val="22"/>
    </w:rPr>
  </w:style>
  <w:style w:type="character" w:customStyle="1" w:styleId="StopkaZnak">
    <w:name w:val="Stopka Znak"/>
    <w:qFormat/>
    <w:rPr>
      <w:kern w:val="2"/>
      <w:sz w:val="22"/>
      <w:szCs w:val="22"/>
    </w:rPr>
  </w:style>
  <w:style w:type="character" w:styleId="Hipercze">
    <w:name w:val="Hyperlink"/>
    <w:rPr>
      <w:color w:val="0563C1"/>
      <w:u w:val="single"/>
    </w:rPr>
  </w:style>
  <w:style w:type="character" w:styleId="Nierozpoznanawzmianka">
    <w:name w:val="Unresolved Mention"/>
    <w:qFormat/>
    <w:rPr>
      <w:color w:val="605E5C"/>
      <w:shd w:val="clear" w:color="auto" w:fill="E1DFDD"/>
    </w:rPr>
  </w:style>
  <w:style w:type="character" w:customStyle="1" w:styleId="Nagwek3Znak">
    <w:name w:val="Nagłówek 3 Znak"/>
    <w:qFormat/>
    <w:rPr>
      <w:rFonts w:ascii="Calibri Light" w:eastAsia="Times New Roman" w:hAnsi="Calibri Light" w:cs="Calibri Light"/>
      <w:b/>
      <w:bCs/>
      <w:sz w:val="26"/>
      <w:szCs w:val="26"/>
    </w:rPr>
  </w:style>
  <w:style w:type="character" w:customStyle="1" w:styleId="markedcontent">
    <w:name w:val="markedcontent"/>
    <w:basedOn w:val="Domylnaczcionkaakapitu"/>
    <w:qFormat/>
  </w:style>
  <w:style w:type="character" w:customStyle="1" w:styleId="TekstpodstawowyZnak">
    <w:name w:val="Tekst podstawowy Znak"/>
    <w:qFormat/>
    <w:rPr>
      <w:rFonts w:ascii="Times New Roman" w:eastAsia="Times New Roman" w:hAnsi="Times New Roman" w:cs="Times New Roman"/>
      <w:sz w:val="24"/>
      <w:szCs w:val="24"/>
    </w:rPr>
  </w:style>
  <w:style w:type="character" w:styleId="Uwydatnienie">
    <w:name w:val="Emphasis"/>
    <w:qFormat/>
    <w:rPr>
      <w:i/>
      <w:iCs/>
    </w:rPr>
  </w:style>
  <w:style w:type="character" w:customStyle="1" w:styleId="Nagwek1Znak">
    <w:name w:val="Nagłówek 1 Znak"/>
    <w:qFormat/>
    <w:rPr>
      <w:rFonts w:ascii="Calibri Light" w:eastAsia="Times New Roman" w:hAnsi="Calibri Light" w:cs="Times New Roman"/>
      <w:b/>
      <w:bCs/>
      <w:kern w:val="2"/>
      <w:sz w:val="32"/>
      <w:szCs w:val="32"/>
    </w:rPr>
  </w:style>
  <w:style w:type="character" w:customStyle="1" w:styleId="Nagwek2Znak">
    <w:name w:val="Nagłówek 2 Znak"/>
    <w:qFormat/>
    <w:rPr>
      <w:rFonts w:ascii="Calibri Light" w:eastAsia="Times New Roman" w:hAnsi="Calibri Light" w:cs="Times New Roman"/>
      <w:b/>
      <w:bCs/>
      <w:i/>
      <w:iCs/>
      <w:kern w:val="2"/>
      <w:sz w:val="28"/>
      <w:szCs w:val="28"/>
    </w:rPr>
  </w:style>
  <w:style w:type="character" w:customStyle="1" w:styleId="TytuZnak">
    <w:name w:val="Tytuł Znak"/>
    <w:qFormat/>
    <w:rPr>
      <w:rFonts w:ascii="Calibri Light" w:eastAsia="Times New Roman" w:hAnsi="Calibri Light" w:cs="Times New Roman"/>
      <w:b/>
      <w:bCs/>
      <w:kern w:val="2"/>
      <w:sz w:val="32"/>
      <w:szCs w:val="32"/>
    </w:rPr>
  </w:style>
  <w:style w:type="character" w:customStyle="1" w:styleId="TekstpodstawowywcityZnak">
    <w:name w:val="Tekst podstawowy wcięty Znak"/>
    <w:qFormat/>
    <w:rPr>
      <w:kern w:val="2"/>
      <w:sz w:val="22"/>
      <w:szCs w:val="22"/>
    </w:rPr>
  </w:style>
  <w:style w:type="character" w:customStyle="1" w:styleId="Tekstpodstawowyzwciciem2Znak">
    <w:name w:val="Tekst podstawowy z wcięciem 2 Znak"/>
    <w:basedOn w:val="TekstpodstawowywcityZnak"/>
    <w:qFormat/>
    <w:rPr>
      <w:kern w:val="2"/>
      <w:sz w:val="22"/>
      <w:szCs w:val="22"/>
    </w:rPr>
  </w:style>
  <w:style w:type="paragraph" w:customStyle="1" w:styleId="Heading">
    <w:name w:val="Heading"/>
    <w:basedOn w:val="Normalny"/>
    <w:next w:val="Normalny"/>
    <w:qFormat/>
    <w:pPr>
      <w:spacing w:before="240"/>
      <w:jc w:val="center"/>
      <w:outlineLvl w:val="0"/>
    </w:pPr>
    <w:rPr>
      <w:rFonts w:ascii="Calibri Light" w:eastAsia="Times New Roman" w:hAnsi="Calibri Light"/>
      <w:b/>
      <w:bCs/>
      <w:sz w:val="32"/>
      <w:szCs w:val="32"/>
    </w:rPr>
  </w:style>
  <w:style w:type="paragraph" w:styleId="Tekstpodstawowy">
    <w:name w:val="Body Text"/>
    <w:basedOn w:val="Normalny"/>
    <w:pPr>
      <w:spacing w:after="120" w:line="240" w:lineRule="auto"/>
    </w:pPr>
    <w:rPr>
      <w:rFonts w:ascii="Times New Roman" w:eastAsia="Times New Roman" w:hAnsi="Times New Roman"/>
      <w:kern w:val="0"/>
      <w:sz w:val="24"/>
      <w:szCs w:val="24"/>
    </w:rPr>
  </w:style>
  <w:style w:type="paragraph" w:styleId="Lista">
    <w:name w:val="List"/>
    <w:basedOn w:val="Normalny"/>
    <w:pPr>
      <w:spacing w:after="160"/>
      <w:ind w:left="283" w:hanging="283"/>
      <w:contextualSpacing/>
    </w:pPr>
  </w:style>
  <w:style w:type="paragraph" w:styleId="Legenda">
    <w:name w:val="caption"/>
    <w:basedOn w:val="Normalny"/>
    <w:qFormat/>
    <w:pPr>
      <w:suppressLineNumbers/>
      <w:spacing w:before="120" w:after="120"/>
    </w:pPr>
    <w:rPr>
      <w:rFonts w:cs="Lohit Devanagari"/>
      <w:i/>
      <w:iCs/>
      <w:sz w:val="24"/>
      <w:szCs w:val="24"/>
    </w:rPr>
  </w:style>
  <w:style w:type="paragraph" w:customStyle="1" w:styleId="Index">
    <w:name w:val="Index"/>
    <w:basedOn w:val="Normalny"/>
    <w:qFormat/>
    <w:pPr>
      <w:suppressLineNumbers/>
    </w:pPr>
    <w:rPr>
      <w:rFonts w:cs="Lohit Devanagari"/>
    </w:rPr>
  </w:style>
  <w:style w:type="paragraph" w:customStyle="1" w:styleId="HeaderandFooter">
    <w:name w:val="Header and Footer"/>
    <w:basedOn w:val="Normalny"/>
    <w:qFormat/>
    <w:pPr>
      <w:suppressLineNumbers/>
      <w:tabs>
        <w:tab w:val="center" w:pos="4819"/>
        <w:tab w:val="right" w:pos="9638"/>
      </w:tabs>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Default">
    <w:name w:val="Default"/>
    <w:qFormat/>
    <w:pPr>
      <w:autoSpaceDE w:val="0"/>
    </w:pPr>
    <w:rPr>
      <w:rFonts w:ascii="Times New Roman" w:eastAsia="Times New Roman" w:hAnsi="Times New Roman" w:cs="Times New Roman"/>
      <w:color w:val="000000"/>
      <w:lang w:val="pl-PL" w:bidi="ar-SA"/>
    </w:rPr>
  </w:style>
  <w:style w:type="paragraph" w:styleId="Akapitzlist">
    <w:name w:val="List Paragraph"/>
    <w:basedOn w:val="Normalny"/>
    <w:qFormat/>
    <w:pPr>
      <w:spacing w:after="160"/>
      <w:ind w:left="720"/>
      <w:contextualSpacing/>
    </w:pPr>
    <w:rPr>
      <w:kern w:val="0"/>
    </w:rPr>
  </w:style>
  <w:style w:type="paragraph" w:styleId="Lista2">
    <w:name w:val="List 2"/>
    <w:basedOn w:val="Normalny"/>
    <w:qFormat/>
    <w:pPr>
      <w:spacing w:after="160"/>
      <w:ind w:left="566" w:hanging="283"/>
      <w:contextualSpacing/>
    </w:pPr>
  </w:style>
  <w:style w:type="paragraph" w:styleId="Lista3">
    <w:name w:val="List 3"/>
    <w:basedOn w:val="Normalny"/>
    <w:qFormat/>
    <w:pPr>
      <w:spacing w:after="160"/>
      <w:ind w:left="849" w:hanging="283"/>
      <w:contextualSpacing/>
    </w:pPr>
  </w:style>
  <w:style w:type="paragraph" w:styleId="Lista4">
    <w:name w:val="List 4"/>
    <w:basedOn w:val="Normalny"/>
    <w:qFormat/>
    <w:pPr>
      <w:spacing w:after="160"/>
      <w:ind w:left="1132" w:hanging="283"/>
      <w:contextualSpacing/>
    </w:pPr>
  </w:style>
  <w:style w:type="paragraph" w:styleId="Lista-kontynuacja">
    <w:name w:val="List Continue"/>
    <w:basedOn w:val="Normalny"/>
    <w:qFormat/>
    <w:pPr>
      <w:spacing w:after="120"/>
      <w:ind w:left="283"/>
      <w:contextualSpacing/>
    </w:pPr>
  </w:style>
  <w:style w:type="paragraph" w:styleId="Tekstpodstawowywcity">
    <w:name w:val="Body Text Indent"/>
    <w:basedOn w:val="Normalny"/>
    <w:pPr>
      <w:spacing w:after="120"/>
      <w:ind w:left="283"/>
    </w:pPr>
  </w:style>
  <w:style w:type="paragraph" w:styleId="Tekstpodstawowyzwciciem2">
    <w:name w:val="Body Text First Indent 2"/>
    <w:basedOn w:val="Tekstpodstawowywcity"/>
    <w:qFormat/>
    <w:pPr>
      <w:ind w:firstLine="210"/>
    </w:pPr>
  </w:style>
  <w:style w:type="paragraph" w:customStyle="1" w:styleId="TableContents">
    <w:name w:val="Table Contents"/>
    <w:basedOn w:val="Normalny"/>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numbering" w:customStyle="1" w:styleId="WW8Num67">
    <w:name w:val="WW8Num67"/>
    <w:qFormat/>
  </w:style>
  <w:style w:type="numbering" w:customStyle="1" w:styleId="WW8Num68">
    <w:name w:val="WW8Num68"/>
    <w:qFormat/>
  </w:style>
  <w:style w:type="numbering" w:customStyle="1" w:styleId="WW8Num69">
    <w:name w:val="WW8Num69"/>
    <w:qFormat/>
  </w:style>
  <w:style w:type="numbering" w:customStyle="1" w:styleId="WW8Num70">
    <w:name w:val="WW8Num70"/>
    <w:qFormat/>
  </w:style>
  <w:style w:type="numbering" w:customStyle="1" w:styleId="WW8Num71">
    <w:name w:val="WW8Num71"/>
    <w:qFormat/>
  </w:style>
  <w:style w:type="numbering" w:customStyle="1" w:styleId="WW8Num72">
    <w:name w:val="WW8Num72"/>
    <w:qFormat/>
  </w:style>
  <w:style w:type="numbering" w:customStyle="1" w:styleId="WW8Num73">
    <w:name w:val="WW8Num73"/>
    <w:qFormat/>
  </w:style>
  <w:style w:type="numbering" w:customStyle="1" w:styleId="WW8Num74">
    <w:name w:val="WW8Num7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5</Pages>
  <Words>2085</Words>
  <Characters>12510</Characters>
  <Application>Microsoft Office Word</Application>
  <DocSecurity>0</DocSecurity>
  <Lines>104</Lines>
  <Paragraphs>29</Paragraphs>
  <ScaleCrop>false</ScaleCrop>
  <Company/>
  <LinksUpToDate>false</LinksUpToDate>
  <CharactersWithSpaces>14566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Zalacznik_3_Projekt_umowy_2027</dc:title>
  <dc:subject>AQUALIFT – dostawa energii elektrycznej 2027</dc:subject>
  <dc:creator>Miejska Spółka Komunalna AQUALIFT Sp. z o.o.</dc:creator>
  <cp:keywords/>
  <dc:description/>
  <cp:lastModifiedBy>ciesielskip@AQUALIFT.local</cp:lastModifiedBy>
  <cp:revision>22</cp:revision>
  <dcterms:created xsi:type="dcterms:W3CDTF">2024-07-25T06:02:00Z</dcterms:created>
  <dcterms:modified xsi:type="dcterms:W3CDTF">2026-10-15T06:44:00Z</dcterms:modified>
  <dc:language>en-US</dc:language>
</cp:coreProperties>
</file>